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val="en-US" w:eastAsia="zh-CN"/>
        </w:rPr>
        <w:t>自然资源行政职权裁量基准</w:t>
      </w:r>
    </w:p>
    <w:p>
      <w:pPr>
        <w:rPr>
          <w:color w:val="auto"/>
          <w:highlight w:val="none"/>
        </w:rPr>
      </w:pPr>
    </w:p>
    <w:tbl>
      <w:tblPr>
        <w:tblStyle w:val="10"/>
        <w:tblW w:w="215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7"/>
        <w:gridCol w:w="422"/>
        <w:gridCol w:w="435"/>
        <w:gridCol w:w="570"/>
        <w:gridCol w:w="343"/>
        <w:gridCol w:w="510"/>
        <w:gridCol w:w="6971"/>
        <w:gridCol w:w="4012"/>
        <w:gridCol w:w="2447"/>
        <w:gridCol w:w="2860"/>
        <w:gridCol w:w="487"/>
        <w:gridCol w:w="1251"/>
        <w:gridCol w:w="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blHeader/>
        </w:trPr>
        <w:tc>
          <w:tcPr>
            <w:tcW w:w="557" w:type="dxa"/>
            <w:vMerge w:val="restart"/>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序号</w:t>
            </w:r>
          </w:p>
        </w:tc>
        <w:tc>
          <w:tcPr>
            <w:tcW w:w="1427" w:type="dxa"/>
            <w:gridSpan w:val="3"/>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 项 名 称</w:t>
            </w:r>
          </w:p>
        </w:tc>
        <w:tc>
          <w:tcPr>
            <w:tcW w:w="343"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事项类型</w:t>
            </w:r>
          </w:p>
        </w:tc>
        <w:tc>
          <w:tcPr>
            <w:tcW w:w="51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行使</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层级</w:t>
            </w:r>
          </w:p>
        </w:tc>
        <w:tc>
          <w:tcPr>
            <w:tcW w:w="697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法  律  依  据</w:t>
            </w:r>
          </w:p>
        </w:tc>
        <w:tc>
          <w:tcPr>
            <w:tcW w:w="4012"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 xml:space="preserve">申  请  条  件 </w:t>
            </w:r>
          </w:p>
        </w:tc>
        <w:tc>
          <w:tcPr>
            <w:tcW w:w="244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许  可  条  件</w:t>
            </w:r>
          </w:p>
        </w:tc>
        <w:tc>
          <w:tcPr>
            <w:tcW w:w="286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申  请  材  料</w:t>
            </w:r>
          </w:p>
        </w:tc>
        <w:tc>
          <w:tcPr>
            <w:tcW w:w="48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承诺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时限</w:t>
            </w:r>
          </w:p>
        </w:tc>
        <w:tc>
          <w:tcPr>
            <w:tcW w:w="125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裁 量 权 标 准</w:t>
            </w:r>
          </w:p>
        </w:tc>
        <w:tc>
          <w:tcPr>
            <w:tcW w:w="686" w:type="dxa"/>
            <w:vMerge w:val="restart"/>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blHeader/>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主项名称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子项名称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办理项名称</w:t>
            </w:r>
          </w:p>
        </w:tc>
        <w:tc>
          <w:tcPr>
            <w:tcW w:w="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黑体" w:hAnsi="宋体" w:eastAsia="黑体" w:cs="黑体"/>
                <w:b/>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w:t>
            </w:r>
          </w:p>
          <w:p>
            <w:pPr>
              <w:bidi w:val="0"/>
              <w:jc w:val="center"/>
              <w:rPr>
                <w:rFonts w:hint="eastAsia"/>
                <w:color w:val="auto"/>
                <w:highlight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探矿权新立、变更、延续、保留和注销登记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新设探矿权登记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第三条第三款   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勘查下列矿产资源，由国务院地质矿产主管部门审批登记，颁发勘查许可证：（一）跨省、自治区、直辖市的矿产资源；（二）领海及中国管辖的其他海域的矿产资源；（三）外商投资勘查的矿产资源；（四）本办法附录所列的矿产资源。 勘查石油、天然气矿产的，经国务院指定的机关审查同意后，由国务院地质矿产主管部门登记，颁发勘查许可证。 勘查下列矿产资源，由省、自治区、直辖市人民政府地质矿产主管部门审批登记，颁发勘查许可证，并应当自发证之日起10日内，向国务院地质矿产主管部门备案：（一）本条第一款、第二款规定以外的矿产资源；（二）国务院地质矿产主管部门授权省、自治区、直辖市人民政府地质矿产主管部门审批登记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【行政法规】《中华人民共和国矿产资源法实施细则》（1994年国务院令第152号）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第五条第一款   国家对矿产资源的勘查、开采实行许可证制度。勘查矿产资源，必须依法申请登记，领取勘查许可证，取得探矿权；开采矿产资源，必须依法申请登记，领取采矿许可证，取得采矿权。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第九条  勘查矿产资源，应当按照国务院关于矿产资源勘查登记管理的规定，办理申请、审批和勘查登记。勘查特定矿种，应当按照国务院有关规定办理申请、审批和勘查登记。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自治区人民政府地质矿产主管部门按照规定的权限和国务院地质矿产部门的授权，负责全区矿产资源勘查登记管理工作，依法颁发勘查许可证。</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(1)申请人是企业法人或事业单位法人；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(1)申请勘查区块面积一般不得小于1个基本单位区块，不得大于允许登记的最大范围；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(2)申请勘查区域原则上不得与其他矿业权区域重叠。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(3)申请勘查项目符合矿产资源规划（含矿业权设置方案），符合国家产业政策；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(4)申请勘查项目的探矿权取得方式符合规定的矿业权出让方式，需要进行探矿权有偿处置的已按规定处置。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2.申请人原则上应当为营利法人或者非营利法人中的事业单位法人，且申请人在90日内未注销该申请区块范围内的探矿权，在6个月内未被吊销过勘查许可证。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 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w:t>
            </w:r>
            <w:r>
              <w:rPr>
                <w:rFonts w:hint="eastAsia" w:ascii="宋体" w:hAnsi="宋体" w:eastAsia="宋体" w:cs="宋体"/>
                <w:i w:val="0"/>
                <w:color w:val="auto"/>
                <w:sz w:val="15"/>
                <w:szCs w:val="15"/>
                <w:highlight w:val="none"/>
                <w:u w:val="none"/>
              </w:rPr>
              <w:t>.勘查实施方案已评审通过，计划勘查资金投入不得低于法定最低勘查投入。</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1.探矿权新立申请登记书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3.勘查项目资金来源文件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9.协议出让申请（仅限于以协议方式出让探矿权的勘查项目）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符合许可条件，即可颁发勘查许可证。</w:t>
            </w:r>
          </w:p>
        </w:tc>
        <w:tc>
          <w:tcPr>
            <w:tcW w:w="686" w:type="dxa"/>
            <w:tcBorders>
              <w:top w:val="nil"/>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扩大勘查区块范围（含合并）变更登记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(2)申请勘查区块面积不得大于允许登记的最大区块面积；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(3)申请扩大勘查区域原则上不得与其他矿业权区域重叠。</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(6)申请扩大勘查区域的探矿权取得方式符合规定的矿业权出让方式，需要进行探矿权有偿处置的已按规定处置；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 xml:space="preserve">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9.探矿权处于有效期内。</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10.协议出让申请（仅限于以协议方式出让探矿权的勘查项目，以合并方式扩大勘查区块范围的不需提交）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1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w:t>
            </w:r>
            <w:r>
              <w:rPr>
                <w:rFonts w:hint="eastAsia" w:ascii="宋体" w:hAnsi="宋体" w:eastAsia="宋体" w:cs="宋体"/>
                <w:i w:val="0"/>
                <w:color w:val="auto"/>
                <w:sz w:val="15"/>
                <w:szCs w:val="15"/>
                <w:highlight w:val="none"/>
                <w:u w:val="none"/>
                <w:lang w:eastAsia="zh-CN"/>
              </w:rPr>
              <w:t>（受让人）</w:t>
            </w:r>
            <w:r>
              <w:rPr>
                <w:rFonts w:hint="eastAsia" w:ascii="宋体" w:hAnsi="宋体" w:eastAsia="宋体" w:cs="宋体"/>
                <w:i w:val="0"/>
                <w:color w:val="auto"/>
                <w:sz w:val="15"/>
                <w:szCs w:val="15"/>
                <w:highlight w:val="none"/>
                <w:u w:val="none"/>
              </w:rPr>
              <w:t>原则上应当为营利法人或者非营利法人中的事业单位法人</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4.申请时间在勘查许可证有效期届满30日前；勘查许可证剩余有效期不足6个月的，申请人（受让人）可以同时申请办理延续。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5.探矿权属无争议，</w:t>
            </w:r>
            <w:r>
              <w:rPr>
                <w:rFonts w:hint="eastAsia" w:ascii="宋体" w:hAnsi="宋体" w:eastAsia="宋体" w:cs="宋体"/>
                <w:i w:val="0"/>
                <w:color w:val="auto"/>
                <w:sz w:val="15"/>
                <w:szCs w:val="15"/>
                <w:highlight w:val="none"/>
                <w:u w:val="none"/>
              </w:rPr>
              <w:t>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应当持有探矿权满2年，或者持有探矿权满1年且提交经评审的普查及以上地质报告;以协议方式取得的非油气探矿权，应当持有探矿权满10年</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7.受让人为涉外企业的，已经有关军事部门同意，符合国家关于外商投资的产业政策要求。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8.探矿权转让申请书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9.探矿权转让合同书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sz w:val="15"/>
                <w:szCs w:val="15"/>
                <w:highlight w:val="none"/>
                <w:u w:val="none"/>
                <w:lang w:val="en-US" w:eastAsia="zh-CN"/>
              </w:rPr>
              <w:t>10.勘查项目资金来源文件</w:t>
            </w:r>
            <w:r>
              <w:rPr>
                <w:rFonts w:hint="eastAsia" w:ascii="宋体" w:hAnsi="宋体" w:eastAsia="宋体" w:cs="宋体"/>
                <w:i w:val="0"/>
                <w:color w:val="auto"/>
                <w:sz w:val="15"/>
                <w:szCs w:val="15"/>
                <w:highlight w:val="none"/>
                <w:u w:val="none"/>
                <w:lang w:val="en-US" w:eastAsia="zh-CN"/>
              </w:rPr>
              <w:br w:type="textWrapping"/>
            </w:r>
            <w:r>
              <w:rPr>
                <w:rFonts w:hint="eastAsia" w:ascii="宋体" w:hAnsi="宋体" w:eastAsia="宋体" w:cs="宋体"/>
                <w:i w:val="0"/>
                <w:color w:val="auto"/>
                <w:sz w:val="15"/>
                <w:szCs w:val="15"/>
                <w:highlight w:val="none"/>
                <w:u w:val="none"/>
                <w:lang w:val="en-US" w:eastAsia="zh-CN"/>
              </w:rPr>
              <w:t>11.经评审备案的普查以上工作程度的地质报告（非必要）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default" w:ascii="宋体" w:hAnsi="宋体" w:eastAsia="宋体" w:cs="宋体"/>
                <w:i w:val="0"/>
                <w:color w:val="auto"/>
                <w:sz w:val="15"/>
                <w:szCs w:val="15"/>
                <w:highlight w:val="none"/>
                <w:u w:val="none"/>
                <w:lang w:eastAsia="zh-CN"/>
              </w:rPr>
              <w:t>12.互不影响和权益保护协议或不影响已设油气探矿权人权益承诺</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1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w:t>
            </w:r>
            <w:r>
              <w:rPr>
                <w:rFonts w:hint="eastAsia" w:ascii="宋体" w:hAnsi="宋体" w:eastAsia="宋体" w:cs="宋体"/>
                <w:i w:val="0"/>
                <w:color w:val="auto"/>
                <w:sz w:val="15"/>
                <w:szCs w:val="15"/>
                <w:highlight w:val="none"/>
                <w:u w:val="none"/>
                <w:lang w:eastAsia="zh-CN"/>
              </w:rPr>
              <w:t>探</w:t>
            </w:r>
            <w:r>
              <w:rPr>
                <w:rFonts w:hint="eastAsia" w:ascii="宋体" w:hAnsi="宋体" w:eastAsia="宋体" w:cs="宋体"/>
                <w:i w:val="0"/>
                <w:color w:val="auto"/>
                <w:sz w:val="15"/>
                <w:szCs w:val="15"/>
                <w:highlight w:val="none"/>
                <w:u w:val="none"/>
              </w:rPr>
              <w:t>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2.市场监督管理部门单位出具的单位信息变更表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勘查主矿种变更登记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(2)申请勘查项目符合勘查矿种变更的相关规定；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7.符合勘查矿种变更的相关规定。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2.勘查实施方案和评审意见书（非必要）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7.勘查项目资金来源文件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缩小勘查区块范围（含分立）变更登记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3.申请时间在勘查许可证有效期届满30日前。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4.非油气探矿权人因自身转采矿权需要，可依据经资源储量评审备案的详查及以上地质报告申请分立。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5.勘查实施方案应当符合地质勘查规程、规范和标准，计划勘查资金投入不得低于法定最低勘查投入要求。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6.勘查实施方案（以分立方式缩小勘查区块范围的提交此资料，其他缩小勘查区块范围申请不需提交此资料）（非必要）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7.勘查实施方案评审意见书（以分立方式缩小勘查区块范围的提交此资料，其他缩小勘查区块范围申请不需提交此资料）（非必要）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6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探矿权延续登记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第十条第一款  勘查许可证有效期最长为3年；但是，石油、天然气勘查许可证有效期最长为7年。需要延长勘查工作时间的，探矿权人应当在勘查许可证有效期届满的30日前，到登记管理机关办理延续登记手续，每次延续时间不得超过2年。</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(3)勘查项目提高勘查阶段或者按规定缩减相应的勘查面积；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4.勘查实施方案已评审通过，已按规定扣减相应勘查面积，计划勘查资金投入不得低于法定最低勘查投入。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8.未在规定期限内提出延续申请的相关材料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7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bidi w:val="0"/>
              <w:jc w:val="center"/>
              <w:rPr>
                <w:rFonts w:hint="eastAsia"/>
                <w:color w:val="auto"/>
                <w:highlight w:val="none"/>
                <w:lang w:val="en-US" w:eastAsia="zh-CN"/>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探矿权保留登记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探矿权人在勘查许可证有效期内探明可供开采的矿体后，经登记管理机关批准，可以停止相应区块的最低勘查投入，并可以在勘查许可证有效期届满的30日前，申请保留探矿权。但是，国家为了公共利益或者因技术条件暂时难以利用等情况，需要延期开采的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保留探矿权的期限，最长不得超过2年，需要延长保留期的，可以申请延长2次，每次不得超过2年；保留探矿权的范围为可供开采的矿体范围。 在停止最低勘查投入期间或者探矿权保留期间，探矿权人应当依照本办法的规定，缴纳探矿权使用费。探矿权保留期届满，勘查许可证应当予以注销。</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(2)勘查项目已探明可供开采的矿体，或符合其他允许保留的特殊情形；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3.地质报告已评审备案，达到探矿权保留规定的勘查程度。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1.探矿权保留申请登记书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2.申请人的企业营业执照副本或事业单位法人证书（非必要）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4.能够说明需要继续延长保留期原因的相关文件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5.经自然资源主管部门组织评审的储量评审意见书（含公示证明，仅限于首次保留申请）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6.未在规定期限内提出延续申请的相关材料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18</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01"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(一)勘查许可证有效期届满，不办理延续登记或者不申请保留探矿权的；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(二)申请采矿权的；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(三)因故需要撤销勘查项目的。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2.按照规定汇交地质资料，编制勘查项目完成报告或者终止报告。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3.勘查项目完成报告或者终止报告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符合许可条件，即可注销探矿权。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采矿权新立、延续、变更与注销登记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新设采矿权登记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第三条第三款  勘查开采矿产资源，必须依法分别申请、经批准取得探矿权、采矿权，并办理登记。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第十六条   开采下列矿产资源的，由国务院地质矿产主管部门审批，并颁发采矿许可证：(一)国家规划矿区和对国民经济具有重要价值的矿区内的矿产资源；(二)前项规定区域以外可供开采的矿产储量规模在大型以上的矿产资源；(三)国家规定实行保护性开采的特定矿种；(四)领海及中国管辖的其他海域的矿产资源；(五)国务院规定的其他矿产资源。  开采石油、天然气、放射性矿产等特定矿种的，可以由国务院授权的有关主管部门审批，并颁发采矿许可证。   开采第一款、第二款规定以外的矿产资源，其可供开采的矿产的储量规模为中型的，由省、自治区、直辖市人民政府地质矿产主管部门审批和颁发采矿许可证。开采第一款、第二款和第三款规定以外的矿产资源的管理办法，由省、自治区、直辖市人民代表大会常务委员会依法制定。 依照第三款、第四款的规定审批和颁发采矿许可证的，由省、自治区、直辖市人民政府地质矿产主管部门汇总向国务院地质矿产主管部门备案。矿产储量规模的大型、中型的划分标准，由国务院矿产储量审批机构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 开采下列矿产资源，由国务院地质矿产主管部门审批登记，颁发采矿许可证：（一）国家规划矿区和对国民经济具有重要价值的矿区内的矿产资源；（二）领海及中国管辖的其他海域的矿产资源；（三）外商投资开采的矿产资源；（四）本办法附录所列的矿产资源。  开采石油、天然气矿产的，经国务院指定的机关审查同意后，由国务院地质矿产主管部门登记，颁发采矿许可证。 开采下列矿产资源，由省、自治区、直辖市人民政府地质矿产主管部门审批登记，颁发采矿许可证：（一）本条第一款、第二款规定以外的矿产资源规模中型以上的矿产资源；（二）国务院地质矿产主管部门授权省、自治区、直辖市人民政府地质矿产主管部门审批登记的矿产资源。  开采本条第一款、第二款、第三款规定以外的矿产资源，由县级以上地方人民政府负责地质矿产管理工作的部门，按照省、自治区、直辖市人民代表大会常务委员会制定的管理办法审批登记，颁发采矿许可证。  矿区范围跨县级以上行政区域的，由所涉及行政区域的共同上一级登记管理机关审批登记，颁发采矿许可证。 县级以上地方人民政府负责地质矿产管理工作的部门在审批发证后，应当逐级向上一级人民政府负责地质矿产管理工作的部门备案。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开采下列矿产资源的，由自治区人民政府地质矿产主管部门审批登记，颁发采矿许可证：（一）自治区实行保护性开采的地热、矿泉水、贺兰石和建设规模为中型以下的太西煤、煤成（层）气；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（二）前项规定以外可供开采的矿产储量规模为中型的矿产资源（包括外商投资开采的矿产资源）；（三）国务院地质矿产主管部门授权审批登记的矿产资源；（四）矿区范围跨市（行署）行政区域的矿产资源。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第十八条 开采下列矿产资源的，由市(行署)地质矿产主管部门审批登记，颁发采矿许可证：（一）开采本条例第十七条规定以外可供开采的矿产储量规模为小型的矿产资源；（二）自治区政府地质矿产主管部门授权审批登记的矿产资源；（三）矿区范围跨县(市区)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第十九条 开采下列矿产资源的，由县(市、区)地质矿产主管部门审批，颁发采矿许可证：（一）本条例第十七、十八条规定以外可供开采的零星分散的矿产资源；（二）自治区和市(行署)地质矿产主管部门授权审批登记的矿产资源；（三）用作普通建筑材料的砂、石、粘土。</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【规范性文件】关于印发《关于贯彻落实自然资源部推进（矿产资源管理改革意见的若干政策》的通知（宁自然资规发〔2020〕4号）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二、调整矿业权出让登记权限</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除自然资源部负责出让登记的14种重要战略性矿产外，自治区自然资源主管部门负责其他矿产的探矿权，以及煤、煤层气、金、铁、铜、铝、镍、锆、铬、磷、萤石11种战略性矿产中大宗矿产采矿权出让登记。</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七）《矿产资源分类目录》一类、二类矿产中，除25种战略性矿产外大、中型矿产的采矿权，由设区的市自然资源主管部门负责出让登记；一类、二类小型及以下矿产和三类矿产采矿权，由县级自然资源主管部门负责出让登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3.取得划定矿区范围批复，并在有效预留期内（招拍挂方式取得不需提供）。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5.企业单位应具备开采矿产资源登记所需要相关已评审备案的报告文件。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8.应具备开采矿产资源登记所需要相关已评审备案的报告文件。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1.采矿权申请登记书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3.矿区范围图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4.经评审备案的储量评审意见书（仅限探矿权转采矿权形式）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8.矿产资源开发利用方案（附专家审查意见）（非必要）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9.采矿权出让合同（非必要）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10.项目核准文件(涉及煤炭采矿权或外商申请《外商投资产业指导目录（最新版）》中限制性矿种的，需提交)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9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采矿权延续登记</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【行政法规】《矿产资源开采登记管理办法》（2014修正）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 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采矿权人逾期不办理延续登记手续的，采矿许可证自行废止。</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3.采矿权人依法开采并履行了相关法定义务。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4.矿区范围内尚有可供开采的矿产资源且剩余保有资源储量清楚。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3.矿区范围内尚有可供开采的矿产资源且剩余保有资源储量清楚。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4.采矿权人依法开采并履行了相关法定义务。</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剩余保有资源储量证明材料（属大中型资源储量规模的，剩余保有资源储量的证明材料为近三年经自然资源主管部门组织评审的储量评审意见书（含公示证明），其他情况剩余保有资源储量的证明材料为当年或上一年度矿山储量年报）（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t>开采</w:t>
            </w:r>
            <w:r>
              <w:rPr>
                <w:rStyle w:val="12"/>
                <w:rFonts w:hint="default" w:ascii="宋体"/>
                <w:color w:val="auto"/>
                <w:sz w:val="15"/>
                <w:szCs w:val="15"/>
                <w:highlight w:val="none"/>
                <w:lang w:eastAsia="zh-CN" w:bidi="ar"/>
              </w:rPr>
              <w:t>主</w:t>
            </w:r>
            <w:r>
              <w:rPr>
                <w:rStyle w:val="12"/>
                <w:color w:val="auto"/>
                <w:sz w:val="15"/>
                <w:szCs w:val="15"/>
                <w:highlight w:val="none"/>
                <w:lang w:val="en-US" w:eastAsia="zh-CN" w:bidi="ar"/>
              </w:rPr>
              <w:t>矿种、开采方式变更登记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3.涉及有偿处置的已按规定完成处置。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4.变更开采主矿种的，拟变更矿种的资源储量报告已经评审备案。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5.矿产资源开发利用方案、矿山地质环境保护与土地复垦方案经评审通过。</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6.申请变更为国家实行开采总量控制矿种的，还需符合国家有关调控规定和开采总量控制要求，并经专家论证通过、公示无异议。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6.经评审备案的储量评审意见书（变更开采方式登记除外）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缩小矿区范围变更登记</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3.采矿权人履行了相关法定义务，缩小划出的矿区完成了有关土地复垦和矿山地质环境治理恢复等工作。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4.原采矿权涉及有偿处置的已按规定处置。</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6.矿产资源储量评审意见书（非必要）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扩大矿区范围变更登记</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3.划定矿区范围已批复，并在有效预留期内。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4.申请扩大的矿区范围原则上不与已设矿业权重叠（矿业权人属同一主体的除外），符合矿产资源规划和国家调控政策。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5.采矿权扩大范围的出让方式符合相关规定，涉及矿业权有偿处置的须已按规定完成处置。</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8.应具备开采矿产资源登记所需要相关已评审备案的报告文件。</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5.经评审备案的储量评审意见书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8.申请人的企业营业执照副本（非必要）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11.矿产资源开发利用方案和专家审查意见（非必要）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12.矿山地质环境保护与土地复垦方案评审意见及公告结果（非必要）</w:t>
            </w: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探矿权采矿权转让管理办法》（2014修正）第三条（二）：“已经取得采矿权的矿山企业，因企业合并、分立，与他人合资、合作经营，或者因企业资产出售以及其他变更企业资产产权的情形，需要变更采矿权主体的，经依法批准，可以将采矿权转让他人采矿”；第四条第二款“国务院地质矿产主管部门负责由其审批发证的探矿权、采矿权转让的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4.采矿权投产满1年（以协议方式取得的采矿权，除母公司与全资子公司之间的转让外，需取得采矿权满10年）。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5.采矿权转让人和受让人已签订转让合同。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6.受让人为外商的，已征得军事部门同意，并符合国家关于外商投资的产业政策要求；国有企业申请转让采矿权的，已获得其上级主管部门同意。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7.除特定情形外，申请登记的矿区范围不得与已设矿业权垂直投影范围重叠。</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4.采矿权投产满1年（以协议方式取得的采矿权，除母公司与全资子公司之间的转让外，需取得采矿权满10年）。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5.采矿权转让人和受让人已签订转让合同。</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6.受让人为外商的，已征得军事部门同意，并符合国家关于外商投资的产业政策要求；国有企业申请转让采矿权的，已获得其上级主管部门同意。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7.除特定情形外，申请登记的矿区范围不得与已设矿业权垂直投影范围重叠。</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7.转让人与受让人签订的采矿权转让合同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8.转让人及受让人企业营业执照（非必要）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9.上级主管部门或单位同意转让的意见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10.变更后的矿产资源储量说明</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4.提交了变更采矿权人名称的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5.单位信息变更表（市场监督管理部门单位出具的）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6.采矿权人原营业执照副本及变更后的营业执照副本（非必要）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2"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第二十四条第一款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一）勘查许可证有效期届满，不办理延续登记或者不申请保留探矿权的；（二）申请采矿权的；（三）因故需要撤销勘查项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【行政法规】《矿产资源开采登记管理办法》（国务院令第241号）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采矿权人在采矿许可证有效期内或者有效期届满，停办、关闭矿山的，应当自决定停办或者关闭矿山之日起30日内，向原发证机关申请办理采矿许可证注销登记手续。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2.申请人提交了关闭矿山报告或完成报告、终止报告。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3.采矿权人完成了有关土地复垦和矿山地质环境治理恢复工作。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2.申请人提交了关闭矿山报告或完成报告、终止报告。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3.采矿权人完成了有关土地复垦和矿山地质环境治理恢复工作，并验收合格。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1.采矿权注销申请登记书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3.矿山闭坑地质报告批复（非必要）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4.关闭矿山报告或完成报告或终止报告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符合许可条件，即可注销采矿权。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建设项目压覆重要矿产资源审批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建设项目压覆重要矿床（矿产资源）审批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【法律】《中华人民共和国矿产资源法》（2009年修正）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第三十三条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【规范性文件】《国土资源部关于进一步做好建设项目压覆重要矿产资源审批管理工作的通知》（国土资发〔2010〕137号）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三、明确管理分工 建设项目压覆重要矿产资源由区级以上国土资源行政主管部门审批。压覆石油、天然气、放射性矿产，或压覆《矿产资源开采登记管理办法》附录所列矿种（石油、天然气、放射性矿产除外）累计查明资源储量数量达大型矿区规模以上的，或矿区查明资源储量规模达到大型并且压覆占三分之一以上的，由国土资源部负责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1.建设项目压覆重要矿床申请属于厅职权范围；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2.申请人和经办人符合法定条件；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3.属于国土资发〔2010〕137号规定办理压覆审批的情形；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4.申请材料符合国土资发〔2010〕137号、国土资发〔2012〕77号相关规定要求。</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2、已与矿业权人或矿产资源主管部门达成协议；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3、已取得不作压覆处理的函或已缴纳压覆资源价款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1.建设单位关于建设项目压覆重要矿产资源审批申请函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2.授权委托书（申请人无法到场，并授权委托代理人时须提供）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3.建设项目压覆矿产资源不可避免性论证材料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4.建设项目压覆重要矿产资源评估报告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5.建设项目压覆重要矿产资源评估报告的评审备案证明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6.建设单位与被压覆矿业权人签订的协议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6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法规】《矿产资源法》第十五条“设立矿山企业，必须符合国家规定的资质条件，并依照法律和国家有关规定，由审批机关对其矿区范围、矿山设计或者开采方案、生产技术条件、安全措施和环境保护措施等进行审查；审查合格的，方予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采矿权申请人在提出采矿权申请前，应当根据经批准的地质勘查储量报告，向登记管理机关申请划定矿区范围。 需要申请立项，设立矿山企业的，应当根据划定的矿区范围，按照国家规定办理有关手续。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1.申请人为探矿权人，且原则上应当为营利法人。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2.申请材料齐全、符合法定形式。</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申请人为探矿权人，且原则上应当为营利法人。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勘查许可证在有效期内，涉及探矿权有偿处置的已按规定完成处置。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申请划定的矿区范围原则上不与已设矿业权重叠（矿业权人属同一主体的除外），符合矿产资源规划和国家调控政策。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5.勘查程度符合有关规定。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6.生产规模、服务年限与申请开采的储量相适应。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7.矿区范围无权属争议。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8.矿区范围不与生态保护红线重叠，未涉及占用永久基本农田或符合占用永久基本农田的规定。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1.划定矿区范围申请登记书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w:t>
            </w:r>
            <w:r>
              <w:rPr>
                <w:rFonts w:hint="default" w:ascii="宋体" w:hAnsi="宋体" w:eastAsia="宋体" w:cs="宋体"/>
                <w:i w:val="0"/>
                <w:color w:val="auto"/>
                <w:kern w:val="0"/>
                <w:sz w:val="15"/>
                <w:szCs w:val="15"/>
                <w:highlight w:val="none"/>
                <w:u w:val="none"/>
                <w:lang w:eastAsia="zh-CN" w:bidi="ar"/>
              </w:rPr>
              <w:t>自然资源主管部门组织评审的</w:t>
            </w:r>
            <w:r>
              <w:rPr>
                <w:rFonts w:hint="eastAsia" w:ascii="宋体" w:hAnsi="宋体" w:eastAsia="宋体" w:cs="宋体"/>
                <w:i w:val="0"/>
                <w:color w:val="auto"/>
                <w:kern w:val="0"/>
                <w:sz w:val="15"/>
                <w:szCs w:val="15"/>
                <w:highlight w:val="none"/>
                <w:u w:val="none"/>
                <w:lang w:val="en-US" w:eastAsia="zh-CN" w:bidi="ar"/>
              </w:rPr>
              <w:t>储量评审意见书（含公示证明）（非必要）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符合许可条件，即可下达划定矿区范围批复。</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41"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关闭矿山，必须提出矿山闭坑报告及有关采掘工程、不安全隐患、土地复垦利用、环境保护的资料，并按照国家规定报请审查批准。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【行政法规】《中华人民共和国矿产资源法实施细则》（1994年3月26日国务院令第152号）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第三十二条：……采矿权人停办矿山的申请，须经原批准开办矿山的主管部门批准、原颁发采矿许可证的机关验收合格后，方可办理有关证、照注销手续。 第三十三条：矿山企业关闭矿山，应当按照下列程序办理审批手续：…… (二)闭坑地质报告经原批准开办矿山的主管部门审核同意后，报地质矿产主管部门会同矿产储量审批机构批准；……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【国务院决定】《国务院关于第六批取消和调整行政审批项目的决定》（国发〔2012〕52号）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附件2（一）第14项：矿山闭坑地质报告审批，下放至省级人民政府国土资源部门。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依法取得采矿权。</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2、不存在违法勘查、违法开采行为或已查处到位；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3、提交的矿山闭坑地质报告经过专家审查通过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1.矿山闭坑地质报告审批申报表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2.闭坑地质报告的申请函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3.储量评审意见书（经宁夏回族自治区矿产资源储量评审中心审核通过）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符合许可条件，即可审批闭坑报告。</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4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地质灾害防治资质审批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8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 企、事业单位具有在有效期内的地质灾害危险性评估单位资质证书且具有资质证书变更的相关材料。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4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第一款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因破产、歇业或者其他原因终止业务活动的资质单位。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color w:val="auto"/>
                <w:highlight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9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1.资质证书正本或副本遗失、残缺、污损的。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2.具有独立企业法人资格的企、事业单位。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2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1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6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2、法定代表人和技术负责人专业技术职称符合要求；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3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2.企、事业单位具有在有效期内的地质灾害治理工程施工单位资质证书。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1.具有独立企业法人资格的企、事业单位。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第十九条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79"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1.具有在有效期内的地质灾害治理工程监理单位资质。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21" w:hRule="atLeast"/>
        </w:trPr>
        <w:tc>
          <w:tcPr>
            <w:tcW w:w="557"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w:t>
            </w:r>
          </w:p>
        </w:tc>
        <w:tc>
          <w:tcPr>
            <w:tcW w:w="422"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一般保护古生物化石发掘、出境审批</w:t>
            </w: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发掘一般保护古生物化石审批</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一般保护古生物化石发掘审批</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【行政法规】《古生物化石保护条例》（2010年国务院令580号）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在国家级古生物化石自然保护区内发掘古生物化石，或者在其他区域发掘重点保护古生物化石的，应当向国务院国土资源主管部门提出申请并取得批准；在国家级古生物化石自然保护区外发掘一般保护古生物化石的，应当向古生物化石所在地省、自治区、直辖市人民政府国土资源主管部门提出申请并取得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第十四条 发掘古生物化石的单位，应当按照批准的发掘方案进行发掘；确需改变发掘方案的，应当报原批准发掘的国土资源主管部门批准。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color w:val="auto"/>
                <w:highlight w:val="none"/>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第十三条 在国家级古生物化石自然保护区内发掘古生物化石，或者在其他区域发掘古生物化石涉及重点保护古生物化石的，应当向国土资源部提出申请并取得批准。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除前款规定的情形外，其他申请发掘古生物化石的，应当向古生物化石所在地的省、自治区、直辖市人民政府国土资源主管部门提出申请并取得批准。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1.在国家级古生物化石自然保护区外发掘一般保护古生物化石的。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2、不存在违法发掘等行为或已查处到位；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3、已经过专家委员会审查</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（一）古生物化石发掘申请表；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（二）申请发掘古生物化石单位的证明材料；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（三）古生物化石发掘方案，包括发掘时间和地点、发掘对象、发掘地的地形地貌、区域地质条件、发掘面积、层位和工作量、发掘技术路线、发掘领队及参加人员情况等；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（四）古生物化石发掘标本保存方案，包括发掘的古生物化石可能的属种、古生物化石标本保存场所及其保存条件、防止化石标本风化、损毁的措施等；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（五）古生物化石发掘区自然生态条件恢复方案，包括发掘区自然生态条件现状、发掘后恢复自然生态条件的目标任务和措施、自然生态条件恢复工程量、自然生态条件恢复工程经费概算及筹措情况；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（六）法律、法规规定的其他材料。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第二项规定的证明材料包括：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（一）单位性质证明材料；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3名以上技术人员的古生物专业或者相关专业的技术职称证书，及其3年以上古生物化石的发掘经历证明。发掘活动的领队除应当提供3年以上古生物化石的发掘经历证明以外，还应当提供古生物专业高级职称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（三）符合古生物化石发掘需要的设施、设备的证明材料；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（四）古生物化石修复技术和保护工艺的证明材料；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（五）符合古生物化石安全保管的设施、设备和场所的证明材料。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同一单位两年内再次提出发掘申请的，可以不再提交以上材料，但应当提供发掘活动领队的证明材料。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158" w:hRule="atLeast"/>
        </w:trPr>
        <w:tc>
          <w:tcPr>
            <w:tcW w:w="557"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【行政法规】《古生物化石保护条例》（2010年9月5日国务院令第580号）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第二十六条 未命名的古生物化石不得出境。 重点保护古生物化石符合下列条件之一，经国务院国土资源主管部门批准，方可出境：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（一）因科学研究需要与国外有关研究机构进行合作的；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（二）因科学、文化交流需要在境外进行展览的。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一般保护古生物化石经所在地省、自治区、直辖市人民政府国土资源主管部门批准，方可出境。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申请古生物化石出境的，应当向国务院国土资源主管部门或者省、自治区、直辖市人民政府国土资源主管部门提出出境申请，并提交出境古生物化石的清单和照片。出境申请应当包括申请人的基本情况和古生物化石的出境地点、出境目的、出境时间等内容。申请重点保护古生物化石出境的，申请人还应当提供外方合作单位的基本情况和合作科学研究合同或者展览合同，以及古生物化石的应急保护预案、保护措施、保险证明等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第四十三条 申请一般保护古生物化石出境的单位或者个人应当向所在地的省、自治区、直辖市人民政府国土资源主管部门提交下列材料：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1.在国家级古生物化石自然保护区外一般保护古生物化石出境的。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3.经过国家命名和确认的古生物化石。</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2、不存在相关违法行为或已查处到位；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3、已经过其他相关部门审批通过；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4、已经过专家委员会审查</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70" w:hRule="atLeast"/>
        </w:trPr>
        <w:tc>
          <w:tcPr>
            <w:tcW w:w="557"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w:t>
            </w: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测绘地理信息行业资质、资格审查认定</w:t>
            </w:r>
          </w:p>
        </w:tc>
        <w:tc>
          <w:tcPr>
            <w:tcW w:w="4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测绘资质审批</w:t>
            </w: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新申请测绘资质审批</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第五条  申请测绘资质的单位应当符合下列条件：</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（一）有法人资格；</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（二）有与从事的测绘活动相适应的测绘专业技术人员和测绘相关专业技术人员；</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（三）有与从事的测绘活动相适应的技术装备和设施；</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（四）有健全的技术和质量保证体系、安全保障措施、信息安全保密管理制度以及测绘成果和资料档案管理制度。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测绘资质等级专业类别的申请条件和申请材料的具体要求，由《测绘资质分类分级标准》规定。</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（二）具有符合《测绘资质管理</w:t>
            </w:r>
            <w:r>
              <w:rPr>
                <w:rFonts w:hint="eastAsia" w:ascii="宋体" w:hAnsi="宋体" w:cs="宋体"/>
                <w:i w:val="0"/>
                <w:color w:val="auto"/>
                <w:kern w:val="0"/>
                <w:sz w:val="15"/>
                <w:szCs w:val="15"/>
                <w:highlight w:val="none"/>
                <w:u w:val="none"/>
                <w:lang w:val="en-US" w:eastAsia="zh-CN" w:bidi="ar"/>
              </w:rPr>
              <w:t>办法</w:t>
            </w:r>
            <w:r>
              <w:rPr>
                <w:rFonts w:hint="eastAsia" w:ascii="宋体" w:hAnsi="宋体" w:eastAsia="宋体" w:cs="宋体"/>
                <w:i w:val="0"/>
                <w:color w:val="auto"/>
                <w:kern w:val="0"/>
                <w:sz w:val="15"/>
                <w:szCs w:val="15"/>
                <w:highlight w:val="none"/>
                <w:u w:val="none"/>
                <w:lang w:val="en-US" w:eastAsia="zh-CN" w:bidi="ar"/>
              </w:rPr>
              <w:t>》《测绘资质</w:t>
            </w:r>
            <w:r>
              <w:rPr>
                <w:rFonts w:hint="eastAsia" w:ascii="宋体" w:hAnsi="宋体" w:cs="宋体"/>
                <w:i w:val="0"/>
                <w:color w:val="auto"/>
                <w:kern w:val="0"/>
                <w:sz w:val="15"/>
                <w:szCs w:val="15"/>
                <w:highlight w:val="none"/>
                <w:u w:val="none"/>
                <w:lang w:val="en-US" w:eastAsia="zh-CN" w:bidi="ar"/>
              </w:rPr>
              <w:t>分类分级标准</w:t>
            </w:r>
            <w:r>
              <w:rPr>
                <w:rFonts w:hint="eastAsia" w:ascii="宋体" w:hAnsi="宋体" w:eastAsia="宋体" w:cs="宋体"/>
                <w:i w:val="0"/>
                <w:color w:val="auto"/>
                <w:kern w:val="0"/>
                <w:sz w:val="15"/>
                <w:szCs w:val="15"/>
                <w:highlight w:val="none"/>
                <w:u w:val="none"/>
                <w:lang w:val="en-US" w:eastAsia="zh-CN" w:bidi="ar"/>
              </w:rPr>
              <w:t>》要求的专业技术人员、仪器设备；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1.申请单位提供的申请材料符合规定要求，给予办理新申请测绘资质审批；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2.申请单位提供的申请材料不符合规定要求，不予办理新申请测绘资质审批。</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测绘资质升级审批</w:t>
            </w:r>
          </w:p>
        </w:tc>
        <w:tc>
          <w:tcPr>
            <w:tcW w:w="343"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（四）具有与申请从事测绘活动相匹配的测绘业绩和能力。</w:t>
            </w:r>
          </w:p>
        </w:tc>
        <w:tc>
          <w:tcPr>
            <w:tcW w:w="244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6</w:t>
            </w:r>
            <w:r>
              <w:rPr>
                <w:rFonts w:hint="eastAsia" w:ascii="宋体" w:hAnsi="宋体" w:eastAsia="宋体" w:cs="宋体"/>
                <w:i w:val="0"/>
                <w:color w:val="auto"/>
                <w:kern w:val="0"/>
                <w:sz w:val="15"/>
                <w:szCs w:val="15"/>
                <w:highlight w:val="none"/>
                <w:u w:val="none"/>
                <w:lang w:val="en-US" w:eastAsia="zh-CN" w:bidi="ar"/>
              </w:rPr>
              <w:t>.项目合同</w:t>
            </w:r>
            <w:r>
              <w:rPr>
                <w:rFonts w:hint="eastAsia" w:ascii="宋体" w:hAnsi="宋体" w:cs="宋体"/>
                <w:i w:val="0"/>
                <w:color w:val="auto"/>
                <w:kern w:val="0"/>
                <w:sz w:val="15"/>
                <w:szCs w:val="15"/>
                <w:highlight w:val="none"/>
                <w:u w:val="none"/>
                <w:lang w:val="en-US" w:eastAsia="zh-CN" w:bidi="ar"/>
              </w:rPr>
              <w:t>和</w:t>
            </w:r>
            <w:r>
              <w:rPr>
                <w:rFonts w:hint="eastAsia" w:ascii="宋体" w:hAnsi="宋体" w:eastAsia="宋体" w:cs="宋体"/>
                <w:i w:val="0"/>
                <w:color w:val="auto"/>
                <w:kern w:val="0"/>
                <w:sz w:val="15"/>
                <w:szCs w:val="15"/>
                <w:highlight w:val="none"/>
                <w:u w:val="none"/>
                <w:lang w:val="en-US" w:eastAsia="zh-CN" w:bidi="ar"/>
              </w:rPr>
              <w:t>甲方出具的验收文件</w:t>
            </w:r>
          </w:p>
        </w:tc>
        <w:tc>
          <w:tcPr>
            <w:tcW w:w="48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1.申请单位提供的申请材料符合规定要求，给予办理测绘资质升级审批；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2.申请单位提供的申请材料不符合规定要求，不予办理测绘资质升级审批。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测绘资质增加业务范围审批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15.保密设施佐证材料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1.申请单位提供的申请材料符合规定要求，给予办理测绘资质增加业务范围审批；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2.申请单位提供的申请材料不符合规定要求，不予办理测绘资质增加业务范围审批。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测绘资质变更（单位法人、地址或名称）审批</w:t>
            </w:r>
          </w:p>
        </w:tc>
        <w:tc>
          <w:tcPr>
            <w:tcW w:w="3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第十四条第二款  测绘单位名称、注册地址、法定代表人发生变更的，应当向审批机关提交有关部门的核准材料,申请换发新的测绘资质证书。</w:t>
            </w:r>
          </w:p>
        </w:tc>
        <w:tc>
          <w:tcPr>
            <w:tcW w:w="40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2.企业具有自然资源厅核发的《测绘资质证书》正副本，证载公司名称与企业名称相同。变更公司名称的，需提供市场监管部门提供的企业信息变更表。</w:t>
            </w:r>
          </w:p>
        </w:tc>
        <w:tc>
          <w:tcPr>
            <w:tcW w:w="24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1.测绘资质资质变更申请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3.测绘资质证书（正、副本）（非必要）</w:t>
            </w:r>
          </w:p>
        </w:tc>
        <w:tc>
          <w:tcPr>
            <w:tcW w:w="4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1.申请单位提供的申请材料符合规定要求，给予办理测绘资质变更（单位法人、地址或名称）审批；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2.申请单位提供的申请材料不符合规定要求，不予办理测绘资质变更（单位法人、地址或名称）审批。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测绘资质注销审批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第十五条  测绘单位申请注销测绘资质证书的，审批机关应当及时办理测绘资质证书注销手续。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2.单位具有自然资源厅核发的《测绘资质证书》正副本。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3.单位主动申请注销资质。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2.测绘资质证书（正、副本）（非必要）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1.申请单位提供的申请材料符合规定要求，给与办理测绘资质注销审批；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2.申请单位提供的申请材料不符合规定要求，不予办理测绘资质注销审批。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6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测绘专业技术人员执业资格证认定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注册测绘师资格的（初始）注册审查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1.中华人民共和国注册测绘师初始注册申请表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3.申请注册人员的身份证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4.与聘用单位签订的劳动或者聘用合同</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1.申请人提供的申请材料符合规定要求，给与通过注册测绘师资格的（初始）注册审查；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2.申请人提供的申请材料不符合规定要求，不予通过注册测绘师资格的（初始）注册审查。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注册测绘师资格的（变更）注册审查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1.中华人民共和国注册测绘师变更注册申请表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2.与新聘用单位签订的劳动或者聘用合同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3.工作调动或者与原聘用单位解除劳动合同（聘用合同）的材料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1.申请人提供的申请材料符合规定要求，给与通过注册测绘师资格的（变更）注册审查；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2.申请人提供的申请材料不符合规定要求，不予通过注册测绘师资格的（变更）注册审查。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2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注册测绘师资格的（延续）注册审查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1.中华人民共和国注册测绘师延续注册申请表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1.申请人提供的申请材料符合规定要求，给与通过注册测绘师资格的（延续）注册审查；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2.申请人提供的申请材料不符合规定要求，不予通过注册测绘师资格的（延续）注册审查。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5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注册测绘师资格的（逾期）注册审查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1.中华人民共和国注册测绘师逾期注册申请表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1.申请人提供的申请材料符合规定要求，给与通过注册测绘师资格的（逾期）注册审查；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2.申请人提供的申请材料不符合规定要求，不予通过注册测绘师资格的（逾期）注册审查。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仿宋_GB2312" w:hAnsi="宋体" w:eastAsia="仿宋_GB2312" w:cs="仿宋_GB2312"/>
                <w:i w:val="0"/>
                <w:color w:val="auto"/>
                <w:kern w:val="0"/>
                <w:sz w:val="15"/>
                <w:szCs w:val="15"/>
                <w:highlight w:val="none"/>
                <w:u w:val="none"/>
                <w:lang w:val="en-US" w:eastAsia="zh-CN" w:bidi="ar"/>
              </w:rPr>
            </w:pPr>
            <w:r>
              <w:rPr>
                <w:rFonts w:hint="eastAsia" w:ascii="仿宋_GB2312" w:hAnsi="宋体" w:eastAsia="仿宋_GB2312" w:cs="仿宋_GB2312"/>
                <w:i w:val="0"/>
                <w:color w:val="auto"/>
                <w:kern w:val="0"/>
                <w:sz w:val="15"/>
                <w:szCs w:val="15"/>
                <w:highlight w:val="none"/>
                <w:u w:val="none"/>
                <w:lang w:val="en-US" w:eastAsia="zh-CN" w:bidi="ar"/>
              </w:rPr>
              <w:t>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ascii="仿宋_GB2312" w:hAnsi="宋体" w:eastAsia="仿宋_GB2312" w:cs="仿宋_GB2312"/>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地图审核审批（非应急保障）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2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建立相对独立的平面坐标系统批准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大城市和国家重大工程项目建立相对独立的平面坐标系统审批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1.具有企业或事业单位法人资格，或为政府部门；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2.确需建立相对独立平面坐标系统的；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3.具有相适应的保密管理制度和成果保管条件。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1.建立相对独立的平面坐标系统申请书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2.属工程项目的申请人的有效身份证明（非必要）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3.立项批准文件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4.建设单位测绘成果资料档案管理设施证明文件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5.建设单位测绘成果资料档案管理制度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6.市人民政府同意建立的文件（建立城市相对独立的平面坐标系统的应当提供）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1.申请单位提供的申请材料符合规定要求，给与办理大城市和国家重大工程项目建立相对独立的平面坐标系统审批；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2.申请单位提供的申请材料不符合规定要求，不予办理大城市和国家重大工程项目建立相对独立的平面坐标系统审批。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永久性测量标志拆迁审批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拆迁永久性测量标志或者使永久性测量标志失去使用效能审批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第四十三条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2.因工程建设需要，且因客观不可抗力原因确实无法避开，确要拆迁永久性测量标志或者使永久性测量标志失去效能的。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2.确需拆迁永久性测量标志或者使永久性测量标志失去效能。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1.永久性测量标志拆迁申请书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2.工程建设项目批准文件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3.同意支付拆迁费用书面材料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4.永久性测量标志基本情况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5.永久性测量标志拆迁必要性迫切性情况说明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6.永久性测量标志建设单位意见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7.专家论证意见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申请材料齐全，符合测量标志保护有关规定，予以许可；申请材料不全或不符合测量标志保护规定，不予许可。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53"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12</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涉密基础测绘成果资料提供使用审批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法人或者其他组织需要利用属于国家秘密的基础测绘成果审批（较高信息承载量）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3.申请人具备使用国家秘密基础测绘成果的软硬件条件。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591"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法人或者其他组织需要利用属于国家秘密的基础测绘成果审批（较低信息承载量）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2.申请人确需使用国家秘密基础测绘成果。3.申请人具备使用国家秘密基础测绘成果的软硬件条件。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28"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13</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建设项目用地预审与选址意见书核发</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第五十二条　建设项目可行性研究论证时，自然资源主管部门可以根据土地利用总体规划、土地利用年度计划和建设用地标准，对建设用地有关事项进行审查，并提出意见。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（三）农用地转用方案经批准后，由市、县人民政府组织实施。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【部门规章】《建设项目用地预审管理办法》（2016年国土资源部令第68号修正）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本办法所称建设项目用地预审，指国土资源主管部门在建设项目审批、核准、备案阶段，依法对建设项目涉及的土地利用事项进行的审查。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建设项目用地实行分级预审。需人民政府或有批准权的人民政府发展改革等部门审批的建设项目，由该人民政府的国土资源主管部门预审。需核准和备案的建设项目，由与核准、备案机关同级的国土资源主管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第六条第一款  依照本办法第四条规定应当由国土资源部预审的建设项目，国土资源部委托项目所在地的省级国土资源主管部门受理，但建设项目占用规划确定的城市建设用地范围内土地的，委托市级国土资源主管部门受理。受理后，提出初审意见，转报国土资源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应当由国土资源部负责预审的输电线塔基、钻探井位、通讯基站等小面积零星分散建设项目用地，由省级国土资源主管部门预审，并报国土资源部备案。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【部门规章】《关于加强和改进永久基本农田保护工作的通知》（自然资规〔2019〕1号）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深度贫困地区、集中连片特困地区、国家扶贫开发工作重点县省级以下基础设施、易地扶贫搬迁、民生发展等建设项目，确实难以避让永久基本农田的，可以纳入重大建设项目范围，由省级自然资源部门办理用地预审，并按照规定办理农用地转用和土地征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【部门规章】《自然资源部关于贯彻落实&lt;国务院关于授权和委托用地审批权的决定&gt;的通知》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对应国务院授权和委托的用地审批权，将部的用地预审权同步下放省级自然资源主管部门；将先行用地批准权委托给试点省份省级自然资源主管部门。其中委托用地预审和先行用地批准权的期限与试点时间相同。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【规范性文件】《宁夏建设项目用地预审管理实施细则》（宁国土资规发〔2017〕1号）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建设项目用地预审是指国土资源管理部门在建设项目审批、核准、备案阶段，依法对建设项目涉及的土地利用事项进行的审查。建设项目用地实行分级预审。需人民政府或有批准权的人民政府发展和改革等部门审批的建设项目，由该人民政府国土资源管理部门预审。需核准和备案的建设项目，由与核准、备案机关同级的国土资源管理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第一款 国务院和国务院有关部门审批、核准、备案的建设项目，由国土资源部负责预审。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第二款 应当由国土部预审的建设项目，委托自治区国土资源厅负责受理，但建设项目占用规划确定的城市建设用地范围内土地的，委托市级国土资源管理部门受理。受理后，提出初审意见，转报国土资源部。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第四款 应当由国土资源部负责预审的输电线塔基、钻探井位、通讯基站等小面积零星分散建设项目用地，由自治区国土资源厅预审，并报国土资源部备案。</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2.确需占用永久基本农田且符合允许占用条件的，提交土地利用总体规划修改方案暨永久基本农田补划方案，确实无法避让生态红线且符合允许占用条件的，提供由自治区人民政府出具不可避让的论证意见；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用地单位需要提交的材料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1.建设项目用地预审与选址意见书申请表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2.建设项目用地预审与选址意见书申请报告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4.项目用地边界拐点坐标（光伏发电项目同时提供厂区范围坐标）（2000国家大地坐标系）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5.土地利用总体规划修改方案（涉及建设项目用地确需修改土地利用总体规划且符合土地利用总体规划修改调整条件的）（非必要）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6.标绘有建设项目拟用地位置的地形图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7.标绘有建设项目拟用地位置的平面布置图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市、县（区）自然资源局需要提交的材料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1.市、县（区）级自然资源主管部门用地初审意见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3.确需占用永久基本农田且符合占用条件的，提交现场踏勘论证意见、土地利用总体规划修改方案暨永久基本农田补划方案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4.自治区人民政府及自然资源主管部门要求补充的材料</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2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建设项目选址意见书审批（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4"/>
                <w:color w:val="auto"/>
                <w:sz w:val="15"/>
                <w:szCs w:val="15"/>
                <w:highlight w:val="none"/>
                <w:lang w:val="en-US" w:eastAsia="zh-CN" w:bidi="ar"/>
              </w:rPr>
              <w:t>用地单位需要提交的材料</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1.建设项目用地预审与选址意见书申请表</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2.建设项目用地预审与选址意见书申请报告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4.项目用地边界拐点坐标（光伏发电项目同时提供厂区范围坐标）（2000国家大地坐标系）</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5.标绘有建设项目拟用地位置的地形图</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6.标绘有建设项目拟用地位置的平面布置图</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4"/>
                <w:rFonts w:ascii="宋体" w:hAnsi="宋体" w:eastAsia="宋体" w:cs="宋体"/>
                <w:color w:val="auto"/>
                <w:sz w:val="15"/>
                <w:szCs w:val="15"/>
                <w:highlight w:val="none"/>
                <w:lang w:val="en-US" w:eastAsia="zh-CN" w:bidi="ar"/>
              </w:rPr>
              <w:t>市、县（区）自然资源局需要提交的材料</w:t>
            </w:r>
            <w:r>
              <w:rPr>
                <w:rStyle w:val="14"/>
                <w:rFonts w:ascii="宋体" w:hAnsi="宋体" w:eastAsia="宋体" w:cs="宋体"/>
                <w:color w:val="auto"/>
                <w:sz w:val="15"/>
                <w:szCs w:val="15"/>
                <w:highlight w:val="none"/>
                <w:lang w:val="en-US" w:eastAsia="zh-CN" w:bidi="ar"/>
              </w:rPr>
              <w:br w:type="textWrapping"/>
            </w:r>
            <w:r>
              <w:rPr>
                <w:rStyle w:val="14"/>
                <w:rFonts w:ascii="宋体" w:hAnsi="宋体" w:eastAsia="宋体" w:cs="宋体"/>
                <w:color w:val="auto"/>
                <w:sz w:val="15"/>
                <w:szCs w:val="15"/>
                <w:highlight w:val="none"/>
                <w:lang w:val="en-US" w:eastAsia="zh-CN" w:bidi="ar"/>
              </w:rPr>
              <w:t>1.市、</w:t>
            </w:r>
            <w:r>
              <w:rPr>
                <w:rStyle w:val="14"/>
                <w:color w:val="auto"/>
                <w:sz w:val="15"/>
                <w:szCs w:val="15"/>
                <w:highlight w:val="none"/>
                <w:lang w:val="en-US" w:eastAsia="zh-CN" w:bidi="ar"/>
              </w:rPr>
              <w:t>县（区）级自然资源主管部门用地初审意见</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3.确需占用永久基本农田且符合占用条件的，提交现场踏勘论证意见、土地利用总体规划修改方案暨永久基本农田补划方案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4.自治区人民政府及自然资源主管部门要求补充的材料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97"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15</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国有土地使用审批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农业开发用地审批</w:t>
            </w: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【法律】《中华人民共和国土地管理法》（1986年6月25日主席令第四十一号，2019年修正）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开发未确定使用权的国有荒山、荒地、荒滩从事种植业、林业、畜牧业、渔业生产的，经县级以上人民政府依法批准，可以确定给开发单位或者个人长期使用。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第九条　禁止任何单位和个人在国土空间规划确定的禁止开垦的范围内从事土地开发活动。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【国务院决定】《国务院关于取消和下放一批行政审批项目的决定》（国发〔2014〕39号）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土地开垦区内开发未确定使用权的国有土地从事生产审查，下放至省级人民政府土地行政主管部门。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第三十三条第一款   使用未确定使用权的国有、农民集体所有的荒地、荒山、荒滩从事农业开发的，按以下权限审批：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（一）一次性开发三十公顷以下的，由县人民政府批准；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（二）一次性开发超过三十公顷不足六十公顷的，由市人民政府或者行署批准；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（三）一次性开发六十公顷以上不足六百公顷的，由自治区人民政府批准；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（四）一次性开发六百公顷以上的，报国务院批准。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办公厅关于做好国有未利用地开发审批权下放和后续监管有关事项的通知》（国土资厅发〔2015〕3号），将一次性开发600公顷以上未确定土地使用权的国有荒山、荒地、荒滩从事种植业、林业、畜牧业、渔业生产用地的审查事项下放至省级人民政府土地行政主管部门。</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1.申请人是中华人民共和国境内的法人和自然人；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2.符合土地利用总体规划及开发整理专项规划；</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3.开发后土地用于种植业、林业、畜牧业、渔业生产；</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4.土地开发用地权属清楚无争议，地类正确，面积准确；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5.土地开发用地进行了科学评估论证；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6.涉及农（牧、渔）业、水利、环保、林业等有关问题的，应取得农业、水利、环保、林业等有关部门对土地开发用地的意见；涉及拆迁的，应取得拆迁补偿安置方案或有关协议；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7.土地开发措施可行，土地开发后有关土地使用政策明确并符合有关规定。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符合申请在土地开垦区内开发未确定使用权的国有荒山、荒地、荒滩从事种植业、林业、畜牧业、渔业生产条件的单位和个人</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2"/>
                <w:color w:val="auto"/>
                <w:sz w:val="15"/>
                <w:szCs w:val="15"/>
                <w:highlight w:val="none"/>
                <w:lang w:val="en-US" w:eastAsia="zh-CN" w:bidi="ar"/>
              </w:rPr>
            </w:pPr>
            <w:r>
              <w:rPr>
                <w:rStyle w:val="13"/>
                <w:color w:val="auto"/>
                <w:sz w:val="15"/>
                <w:szCs w:val="15"/>
                <w:highlight w:val="none"/>
                <w:lang w:val="en-US" w:eastAsia="zh-CN" w:bidi="ar"/>
              </w:rPr>
              <w:t>用地单位需要提交的材料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1.国有荒山、荒地、荒滩开发申请审批表</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2.可行性研究报告批复或核准件或备案件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3.可行性研究报告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4.验资报告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5.涉及农业、林业、水务、滩涂围垦等部门的提供同意文件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6.用地勘测定界技术报告书</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7.勘测定界图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8.用地单位（个人）资质证明（代码证、营业执照、身份证）（非必要）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9.农业开发用地规划图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10.取水许可证（非必要）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br w:type="textWrapping"/>
            </w:r>
            <w:r>
              <w:rPr>
                <w:rStyle w:val="13"/>
                <w:color w:val="auto"/>
                <w:sz w:val="15"/>
                <w:szCs w:val="15"/>
                <w:highlight w:val="none"/>
                <w:lang w:val="en-US" w:eastAsia="zh-CN" w:bidi="ar"/>
              </w:rPr>
              <w:t>市、县（区）自然资源局需要提交的材料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1.市、县（区）人民政府关于国有荒山、荒地、荒滩开发的请示</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2.市、县自然资源部门审查意见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3.土地利用总体规划图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4.分幅土地利用现状图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5.农村土地使用权承包合同</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城乡规划编制单位资质认定（乙级）</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城乡规划编制单位资质新报（乙级）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【法律】《中华人民共和国城乡规划法》（2019年修正）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“宁夏回族自治区范围内注册的法人机构，在办理城乡规划编制单位乙级资质认定事项时实行告知承诺制，事项范围包括新报、延续、涉及名称法人地址的变更、涉及合并分立改制的变更、遗失补办、注销等事项</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城乡规划编制单位资质延续（乙级）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w:t>
            </w:r>
            <w:r>
              <w:rPr>
                <w:rFonts w:hint="eastAsia" w:ascii="宋体" w:hAnsi="宋体" w:eastAsia="宋体" w:cs="宋体"/>
                <w:i w:val="0"/>
                <w:color w:val="auto"/>
                <w:kern w:val="0"/>
                <w:sz w:val="15"/>
                <w:szCs w:val="15"/>
                <w:highlight w:val="none"/>
                <w:u w:val="none"/>
                <w:lang w:val="en-US" w:eastAsia="zh-CN" w:bidi="ar"/>
              </w:rPr>
              <w:t>等事项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办理条件：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申请材料齐全的即可办理延续，资料不齐全不予办理。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城乡规划编制单位资质注销（乙级）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【法律】《中华人民共和国行政许可法》 （中华人民共和国主席令第七号）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第七十条 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六）法律、法规规定的应当注销行政许可的其他情形。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1.具备城乡规划编制单位资质且在有效期内；</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2.依法申请注销城市规划编制单位资质。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申请材料齐全的即可办理注销，资料不齐全不予办理。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城乡规划编制单位资质（涉及合并、分立、改制）变更（乙级）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【部门规章】</w:t>
            </w:r>
            <w:r>
              <w:rPr>
                <w:rFonts w:hint="eastAsia" w:ascii="宋体" w:hAnsi="宋体" w:eastAsia="宋体" w:cs="宋体"/>
                <w:i w:val="0"/>
                <w:color w:val="auto"/>
                <w:kern w:val="0"/>
                <w:sz w:val="15"/>
                <w:szCs w:val="15"/>
                <w:highlight w:val="none"/>
                <w:u w:val="none"/>
                <w:lang w:val="en-US" w:eastAsia="zh-CN" w:bidi="ar"/>
              </w:rPr>
              <w:t>《城乡规划编制单位资质管理规定》（2016年住建部令第32号修订）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第十七条 </w:t>
            </w:r>
            <w:r>
              <w:rPr>
                <w:rFonts w:hint="eastAsia" w:ascii="宋体" w:hAnsi="宋体" w:eastAsia="宋体" w:cs="宋体"/>
                <w:i w:val="0"/>
                <w:color w:val="auto"/>
                <w:sz w:val="15"/>
                <w:szCs w:val="15"/>
                <w:highlight w:val="none"/>
                <w:u w:val="none"/>
              </w:rPr>
              <w:t>城乡规划编制单位乙级、丙级资质许可，由登记注册所在地省、自治区、直辖市人民政府城乡规划主管部门实施。资质许可的实施办法由省、自治区、直辖市人民政府城乡规划主管部门依法确定。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w:t>
            </w:r>
            <w:r>
              <w:rPr>
                <w:rFonts w:hint="eastAsia" w:ascii="宋体" w:hAnsi="宋体" w:eastAsia="宋体" w:cs="宋体"/>
                <w:i w:val="0"/>
                <w:color w:val="auto"/>
                <w:kern w:val="0"/>
                <w:sz w:val="15"/>
                <w:szCs w:val="15"/>
                <w:highlight w:val="none"/>
                <w:u w:val="none"/>
                <w:lang w:val="en-US" w:eastAsia="zh-CN" w:bidi="ar"/>
              </w:rPr>
              <w:t>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企业具有城市规划编制单位资质，且在有效期内。</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2．营业执照正、副本（隶属于高等学校的城乡规划编制单位应提供高校人事部门出具的隶属关系证明）及改制相关文件；或事业单位法人证书；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城乡规划编制单位资质遗失补办（乙级）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遗失城乡规划编制单位乙级资质证书的，应当在公众媒体上声明作废后，向资质许可机关申请补办。</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2．遗失申明；</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3．《城乡规划编制单位资质认定承诺书》</w:t>
            </w:r>
            <w:r>
              <w:rPr>
                <w:rFonts w:hint="eastAsia" w:ascii="宋体" w:hAnsi="宋体" w:eastAsia="宋体" w:cs="宋体"/>
                <w:i w:val="0"/>
                <w:color w:val="auto"/>
                <w:sz w:val="15"/>
                <w:szCs w:val="15"/>
                <w:highlight w:val="none"/>
                <w:u w:val="none"/>
                <w:lang w:eastAsia="zh-CN"/>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申请材料齐全的即可办理遗失补办，资料不齐全不予办理。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6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城乡规划编制单位资质（名称、法人、地址）变更（乙级）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具有城乡规划编制单位资质，且在有效期内</w:t>
            </w:r>
            <w:r>
              <w:rPr>
                <w:rFonts w:hint="eastAsia" w:ascii="宋体" w:hAnsi="宋体" w:eastAsia="宋体" w:cs="宋体"/>
                <w:i w:val="0"/>
                <w:color w:val="auto"/>
                <w:sz w:val="15"/>
                <w:szCs w:val="15"/>
                <w:highlight w:val="none"/>
                <w:u w:val="none"/>
                <w:lang w:eastAsia="zh-CN"/>
              </w:rPr>
              <w:t>。</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25"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17</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建设项目使用林地审核审批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勘查、开采矿藏和各项建设工程占用或者征收、征用林地审核</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【法律】《中华人民共和国森林法》（2019年修正）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第三十七条第一款 矿藏勘查、开采以及其他各类工程建设，应当不占或者少占林地；确需占用林地的，应当经县级以上人民政府林业主管部门审核同意，依法办理建设用地审批手续。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第十六条  勘查、开采矿藏和修建道路、水利、电力、通讯等工程，需要占用或者征收、征用林地的，必须遵守下列规定：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（三）用地单位需要采伐已经批准占用或者征收、征用的林地上的林木时，应当向林地所在地的县级以上地方人民政府林业主管部门或者国务院林业主管部门申请林木采伐许可证。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（四）占用或者征收、征用林地未被批准的，有关林业主管部门应当自接到不予批准通知之日起７日内将收取的森林植被恢复费如数退还。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使用防护林林地或者特种用途林林地面积10公顷以下的，用材林、经济林、薪炭林林地及其采伐迹地面积35公顷以下的，其他林地面积70公顷以下的公民、法人或者其他组织。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2.申请材料齐全并符合法定形式；          3.建设项目应当不占或者少占林地，必须使用林地的，应当符合林地保护利用规划，合理和节约集约利用林地。建设项目使用林地符合林地定额管理要求。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符合许可条件，即可颁发建设项目使用林地审核同意书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7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建设项目临时占用林地审批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aps w:val="0"/>
                <w:color w:val="auto"/>
                <w:spacing w:val="0"/>
                <w:sz w:val="24"/>
                <w:szCs w:val="24"/>
                <w:highlight w:val="none"/>
                <w:shd w:val="clear" w:fill="FFFFFF"/>
              </w:rPr>
            </w:pPr>
            <w:r>
              <w:rPr>
                <w:rFonts w:hint="eastAsia" w:ascii="宋体" w:hAnsi="宋体" w:eastAsia="宋体" w:cs="宋体"/>
                <w:i w:val="0"/>
                <w:color w:val="auto"/>
                <w:kern w:val="0"/>
                <w:sz w:val="15"/>
                <w:szCs w:val="15"/>
                <w:highlight w:val="none"/>
                <w:u w:val="none"/>
                <w:lang w:val="en-US" w:eastAsia="zh-CN" w:bidi="ar"/>
              </w:rPr>
              <w:t>【法律】《中华人民共和国森林法》（2019年修正）</w:t>
            </w:r>
            <w:r>
              <w:rPr>
                <w:rFonts w:hint="eastAsia" w:ascii="宋体" w:hAnsi="宋体" w:eastAsia="宋体" w:cs="宋体"/>
                <w:i w:val="0"/>
                <w:caps w:val="0"/>
                <w:color w:val="auto"/>
                <w:spacing w:val="0"/>
                <w:sz w:val="24"/>
                <w:szCs w:val="24"/>
                <w:highlight w:val="none"/>
                <w:shd w:val="clear" w:fill="FFFFFF"/>
              </w:rPr>
              <w:t>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aps w:val="0"/>
                <w:color w:val="auto"/>
                <w:spacing w:val="0"/>
                <w:sz w:val="24"/>
                <w:szCs w:val="24"/>
                <w:highlight w:val="none"/>
                <w:shd w:val="clear" w:fill="FFFFFF"/>
                <w:lang w:val="en-US" w:eastAsia="zh-CN"/>
              </w:rPr>
              <w:t xml:space="preserve">   </w:t>
            </w:r>
            <w:r>
              <w:rPr>
                <w:rFonts w:hint="eastAsia" w:ascii="宋体" w:hAnsi="宋体" w:eastAsia="宋体" w:cs="宋体"/>
                <w:i w:val="0"/>
                <w:color w:val="auto"/>
                <w:kern w:val="0"/>
                <w:sz w:val="15"/>
                <w:szCs w:val="15"/>
                <w:highlight w:val="none"/>
                <w:u w:val="none"/>
                <w:lang w:val="en-US" w:eastAsia="zh-CN" w:bidi="ar"/>
              </w:rPr>
              <w:t>第三十八条　需要临时使用林地的，应当经县级以上人民政府林业主管部门批准；临时使用林地的期限一般不超过二年，并不得在临时使用的林地上修建永久性建筑物。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临时使用林地期满后一年内，用地单位或者个人应当恢复植被和林业生产条件。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需要临时占用林地的，应当经县级以上人民政府林业主管部门批准。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临时占用林地的期限不得超过两年，并不得在临时占用的林地上修筑永久性建筑物；占用期满后，用地单位必须恢复林业生产条件。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【部门规章】《建设项目使用林地审核审批管理办法》（2016年国家林业局令第42号）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【规范性文件】自治区林业局关于下放临时占用林地审批权的通知（宁林办发〔2013〕342号）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一、将建设工程需要临时占用林地（另有规定的除外）面积2公顷以下的，按属地管理原则，由各县（市、区）人民政府林业主管部门审批。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三、建设工程需要临时占用防护林、特种用途林、国家级自然保护区管理局管辖林地和自治区直属国有林场管辖林地的，仍有自治区林业局审核审批。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临时占用特种用途林林地或防护林林地的公民、法人或其他组织；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2.临时占用其他林地2公顷以上的公民、法人或其他组织；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2.申请材料齐全并符合法定形式；                          3.建设项目应当不占或者少占林地，必须使用林地的，应当符合林地保护利用规划，合理和节约集约利用林地。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建设工程项目使用林地的有关材料。包括：用地单位应当提供原地恢复林业生产条件的方案或者与林权权利人签订的临时占用林地恢复林业生产条件的协议；符合乡村规划的建设项目，应当提供乡村规划许可证或者县级城乡规划主管部门出具的符合乡村规划的证明文件。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8.用地单位或者个人应当提供恢复林业生产条件和恢复植被的方案，包括恢复面积、恢复措施、 时间安排、资金投入等内容。                                                                                               9.预交森林植被恢复费票据。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符合许可条件，即可颁发临时占用林地许可决定书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9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在林地上修筑直接为林业生产服务的工程设施占用林地审批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【法律】《中华人民共和国森林法》（2019年修正）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第十八条第一款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pStyle w:val="2"/>
              <w:ind w:left="420" w:leftChars="200" w:firstLine="300" w:firstLineChars="200"/>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ind w:left="0" w:leftChars="0" w:firstLine="0" w:firstLineChars="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1.修筑直接为林业生产服务的工程设施；                                       2.具有上级及相关部门进行修筑直接为林业生产服务或者工程设施的批准文件或必要性说明；</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2.在林地上修筑下列直接为林业生产经营服务的工程设施，包括：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1.县级林业草原主管部门初步审查意见；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2.使用林地申请表;                             3.县级林业主管部门出具的使用林地现场查验表;                                    4.使用林地的个人身份证明和建设单位法人证明；                                      5.上级及相关部门进行修筑直接为林业生产服务工程设施批准文件或者修筑工程设施；必要性的说明，并提供工程设施内容、使用林地面积等情况说明。</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符合许可条件，即可颁发直接为林业生产服务项目占用林地行政许可决定书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18</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征占用湿地或利用湿地资源审批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征占用自治区重要湿地的审核审批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  建设项目确需征收、占用湿地并转为其他用途的，用地单位应当按照“先补后占，占补平衡”的原则，依法办理相关手续。因依法批准的建设项目施工确需临时占用湿地的，用地单位应当向湿地管理部门提交湿地临时占用方案，明确湿地占用范围、期限、用途、相应的保护措施以及使用期满后的恢复方案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临时占用湿地的期限不得超过二年。临时占用湿地期限届满后，用地单位应当按照湿地恢复方案及时恢复湿地。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【部门规章】《湿地保护管理规定》（2013年国家林业局令第32号）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第三十二条 工程建设应当不占或者少占湿地。确需征收或者占用的，用地单位应当依法办理相关手续，并给予补偿。</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建设项目占用自治区重要湿地、国家湿地公园的公民、法人或者其他组织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2.如项目占用湿地或改变湿地用途，需出具占用湿地补偿方案；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3.有相关资质单位做的项目使用湿地的《生态影响专题报告》，且经专家评审通过；                                   4.湿地公园管理部门出具同意占用的意见建议。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2.项目相关批准文件和工程建设方案;如果项目建设在湿地公园范围内需湿地公园管理部门出具的意见;                     3.有农林牧渔业工程咨询相应资质的单位作出的项目使用湿地的《生态影响专题报告》</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利用湿地资源从事生产经营或者开展生态旅游活动的审批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第二十九条 利用湿地资源从事生产经营或者开展生态旅游活动的，由湿地保护管理机构提出申请，报县级以上人民政府湿地保护行政主管部门批准。 </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利用湿地资源从事生产经营或开展生态旅游活动的公民、法人或者其他组织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2.项目相关批准文件；                          3.如项目占用湿地或改变湿地用途，需出具占用湿地补偿方案；                                  4.湿地公园管理部门出具同意利用的意见建议。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2.相关项目批准文件。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7"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19</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草原类许可</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进行矿藏开采和工程建设长期征用、使用草原审核</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第三十八条  进行矿藏开采和工程建设，应当不占或者少占草原；确需征收、征用或者使用草原的，必须经省级以上人民政府草原行政主管部门审核同意后，依照有关土地管理的法律、行政法规办理建设用地审批手续。</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征收、征用或者使用草原七十公顷及其以下的公民、法人或其他组织</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77"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在草原上修建直接为草原保护和畜牧业生产服务的工程设施审批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w:t>
            </w:r>
            <w:bookmarkStart w:id="0" w:name="_GoBack"/>
            <w:bookmarkEnd w:id="0"/>
            <w:r>
              <w:rPr>
                <w:rFonts w:hint="eastAsia" w:ascii="宋体" w:hAnsi="宋体" w:eastAsia="宋体" w:cs="宋体"/>
                <w:i w:val="0"/>
                <w:color w:val="auto"/>
                <w:kern w:val="0"/>
                <w:sz w:val="15"/>
                <w:szCs w:val="15"/>
                <w:highlight w:val="none"/>
                <w:u w:val="none"/>
                <w:lang w:val="en-US" w:eastAsia="zh-CN" w:bidi="ar"/>
              </w:rPr>
              <w:t>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在草原上修建直接为草原保护和畜牧业生产服务的工程设施，需要使用草原的，由县级以上人民政府草原行政主管部门批准；修筑其他工程，需要将草原转为非畜牧业生产用地的，必须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前款所称直接为草原保护和畜牧业生产服务的工程设施，是指：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（四）草原防火和灌溉设施。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【部门规章】《草原征占用审核审批管理办法》（2014年修订）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第八条第一款  在草原上修建直接为草原保护和畜牧业生产服务的工程设施确需使用草原的，依照下列规定的权限办理：（一）使用草原超过七十公顷的，由省级人民政府草原行政主管部门审批；（二）使用草原七十公顷及其以下的，由县级以上地方人民政府草原行政主管部门依据所在省、自治区、直辖市确定的审批权限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5号）在草原上修建直接为草原保护和畜牧业生产服务的工程设施使用七十公顷以上草原审批，下放至省级人民政府农业主管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使用草原超过七十公顷的公民、法人或其他组织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             7.直接为草原保护和畜牧业生产服务的工程设施，是指：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 草原防火和灌溉设施等。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2"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对年度耕地保护目标责任考核的奖励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【规范性文件】《国务院办公厅印发省级政府耕地保护责任目标考核办法》（国办发〔2018〕2号）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国务院根据考核结果，对认真履行省级政府耕地保护责任、成效突出的省份给予表扬；有关部门在安排年度土地利用计划、土地整治工作专项资金、耕地提质改造项目和耕地质量提升资金时予以倾斜。考核发现问题突出的省份要明确提出整改措施，限期进行整改；整改期间暂停该省、自治区、直辖市相关市、县农用地转用和土地征收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【规范性文件】《自治区人民政府办公厅关于印发宁夏回族自治区地级市政府耕地保护责任目标考核办法的通知》（宁政办发〔2018〕76号）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对地级市耕地保护责任目标年度考核和期末考核实行奖惩。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自治区人民政府根据考核结果，对认真履行地级市政府耕地保护责任、成效突出的地级市给予表扬，有关部门在安排年度土地利用计划、土地整治工作专项资金、高标准农田建设补助资金、耕地质量提升项目资金时予以倾斜。考核发现问题突出的地级市要明确提出整改要求和时限，制定详细的整改措施并落实整改；整改期间暂停农用地转用和土地征收审批工作。</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自治区考核部门对各地级市人民政府耕地保护责任目标履行情况进行全面考核</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考核结果达到奖励标准</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1.对认真履行地级市政府耕地保护责任、成效突出的地级市的事迹材料（可容缺后补）（非必要）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考核分在95分以上的，授予一等奖；90分-95分（不含95分）的，授予二等奖。</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9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对在基本农田保护工作中取得显著成绩的单位和个人的奖励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【行政法规】《基本农田保护条例》（2011年修订）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国家对在基本农田保护工作中取得显著成绩的单位和个人，给予奖励。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1.永久基本农田保护工作成绩显著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2.创新工作方法，积极探索永久基本农田保护措施</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自治区人民政府组织自然资源行政主管部门和农业农村行政主管部门予以审核</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1.永久基本农田保护工作先进集体推荐审批表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2.永久基本农田保护工作中先进个人推荐审批表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3.对在永久基本农田保护工作中取得显著成绩的事迹材料（可容缺后补）（非必要）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单位或个人探索永久基本农田保护措施方法并取得了显著成绩</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94"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对在地质灾害防治工作中做出突出贡献单位和个人的奖励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【行政法规】《地质灾害防治条例》（2003年国务院令第394号）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在地质灾害防治工作中做出突出贡献的单位和个人，由人民政府给予奖励。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在地质灾害防治工作中做出突出贡献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1.地质灾害防治工作中做出突出贡献个人推荐审批表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2.地质灾害防治工作中做出突出贡献集体推荐审批表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5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对在保护开发土地资源、合理利用土地及科学研究等方面成绩显著的奖励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在保护和开发土地资源、合理利用土地以及进行有关的科学研究等方面成绩显著的单位和个人，由人民政府给予奖励。</w:t>
            </w:r>
          </w:p>
          <w:p>
            <w:pPr>
              <w:pStyle w:val="2"/>
              <w:rPr>
                <w:rFonts w:hint="eastAsia"/>
                <w:color w:val="auto"/>
                <w:highlight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在保护和开发土地资源、合理利用土地以及进行有关的科学研究等方面成绩显著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1.对在保护开发土地资源、合理利用土地及科学研究等方面成绩显著的集体推荐审批表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2.对在保护开发土地资源、合理利用土地及科学研究等方面成绩显著的个人推荐审批表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3.对在保护开发土地资源、合理利用土地及科学研究等方面成绩显著的事迹材料（可容缺后补）</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3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对在土地调查工作中做出突出贡献单位和个人的奖励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【行政法规】《土地调查条例》（2018年国务院令第698号修正）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第二十九条 对在土地调查工作中做出突出贡献的单位和个人，应当按照国家有关规定给予表彰或者奖励。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在土地调查工作中做出突出贡献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1.土地调查先进集体推荐审批表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2.土地调查先进工作者推荐审批表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3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对在勘查、开发、保护矿产资源和进行科学技术研究等方面成绩显著的单位和个人的奖励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在勘查、开发、保护矿产资源和进行科学技术研究等方面成绩显著的单位和个人，由各级人民政府给予奖励。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在勘查、开发、保护矿产资源和进行科学技术研究等方面成绩显著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1.在勘查、开发、保护矿产资源和进行科学技术研究等方面成绩显著集体推荐审批表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2.在勘查、开发、保护矿产资源和进行科学技术研究等方面成绩显著个人推荐审批表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6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26</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【行政法规】《土地复垦条例》（2011年国务院令第592号）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国家鼓励和支持土地复垦科学研究和技术创新，推广先进的土地复垦技术。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对在土地复垦工作中作出突出贡献的单位和个人，由县级以上人民政府给予表彰。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在土地复垦工作中作出突出贡献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1.土地复垦工作先进集体推荐审批表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2.土地复垦工作先进个人推荐审批表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3.对在土地复垦工作中作出突出贡献的事迹材料（可容缺后补）（非必要）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45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27</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土地权属争议裁决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第十四条　土地所有权和使用权争议，由当事人协商解决；协商不成的，由人民政府处理。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单位之间的争议，由县级以上人民政府处理；个人之间、个人与单位之间的争议，由乡级人民政府或者县级以上人民政府处理。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当事人对有关人民政府的处理决定不服的，可以自接到处理决定通知之日起三十日内，向人民法院起诉。</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在土地所有权和使用权争议解决前，任何一方不得改变土地利用现状。</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【部门规章】《土地权属争议调查处理办法》（2010年国土资源部令第49号修正）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第四条  县级以上国土资源行政主管部门负责土地权属争议案件（以下简称争议案件）的调查和调解工作；对需要依法作出处理决定的，拟定处理意见，报同级人民政府作出处理决定。 县级以上国土资源行政主管部门可以指定专门机构或者人员负责办理争议案件有关事宜。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第五条 个人之间、个人与单位之间、单位与单位之间发生的争议案件，由争议土地所在地的县级国土资源行政主管部门调查处理。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前款规定的个人之间、个人与单位之间发生的争议案件，可以根据当事人的申请，由乡级人民政府受理和处理。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第六条  设区的市、自治州国土资源行政主管部门调查处理下列争议案件：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（一）跨县级行政区域的；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（二）同级人民政府、上级国土资源行政主管部门交办或者有关部门转送的。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第七条 省、自治区、直辖市国土资源行政主管部门调查处理下列争议案件：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(一)跨设区的市、自治州行政区域的；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(二)争议一方为中央国家机关或者其直属单位，且涉及土地面积较大的；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(三)争议一方为军队，且涉及土地面积较大的；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(四)在本行政区域内有较大影响的；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(五)同级人民政府、国土资源部交办或者有关部门转送的。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2.有关证据材料。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6个月</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根据《土地权属争议调查处理办法》等规定作出处理决定</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8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28</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征地补偿安置争议协调裁决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【行政法规】《中华人民共和国土地管理法实施条例》（2021年国务院令第743号修订）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县级以上地方人民政府应当依据社会稳定风险评估结果，结合土地现状调查情况，组织自然资源、财政、农业农村、人力资源和社会保障等有关部门拟定征地补偿安置方案。</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征地补偿安置方案应当包括征收范围、土地现状、征收目的、补偿方式和标准、安置对象、安置方式、社会保障等内容。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第二十八条　征地补偿安置方案拟定后，县级以上地方人民政府应当在拟征收土地所在的乡（镇）和村、村民小组范围内公告，公告时间不少于三十日。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征地补偿安置公告应当同时载明办理补偿登记的方式和期限、异议反馈渠道等内容。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多数被征地的农村集体经济组织成员认为拟定的征地补偿安置方案不符合法律、法规规定的，县级以上地方人民政府应当组织听证。</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第二十九条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对个别确实难以达成征地补偿安置协议的，县级以上地方人民政府应当在申请征收土地时如实说明。</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第三十条　县级以上地方人民政府完成本条例规定的征地前期工作后，方可提出征收土地申请，依照《土地管理法》第四十六条的规定报有批准权的人民政府批准。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有批准权的人民政府应当对征收土地的必要性、合理性、是否符合《土地管理法》第四十五条规定的为了公共利益确需征收土地的情形以及是否符合法定程序进行审查。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第三十一条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【规范性文件】《宁夏回族自治区征地补偿安置争议协调裁决办法》（宁政发〔2007〕33号）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自治区人民政府国土资源管理部门(以下简称自治区国土资源管理部门)负责承办应当由自治区人民政府协调、裁决的征地补偿安置争议。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当事人对县级人民政府确定的征地补偿安置方案有争议的，可以自公告发布之日起30日内，向所在地设区的市人民政府申请协调，设区的市人民政府应当在30日内协调完毕，情况复杂的，经设区的市人民政府负责人批准，可以适当延长，但是延长期限最多不得超过45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依照前款规定经协调未能达成一致的，协调机关应当出具协调情况证明书并告知当事人可以再次申请协调、裁决的权利和期限。当事人可以在被告知之日起10日内，向自治区人民政府申请再次协调和裁决。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当事人对设区的市人民政府确定的征地补偿安置方案有争议的，可以自公告发布之日起30日内，向自治区人民政府申请协调、裁决。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向自治区人民政府申请协调、裁决征地补偿安置争议的，应当提交下列材料：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(二)申请人身份证明材料；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(四)设区的市人民政府出具的协调情况证明书；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(五)自治区国土资源管理部门认为应当提交的其他材料。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申请人委托代理人提出协调、裁决申请的，应当提交由申请人签名或者盖章的授权委托书、代理人的身份证明。</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2.申请人及其代理人的身份证明（非必要）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4.设区的市人民政府出具的协调情况证明书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60日</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根据《宁夏回族自治区征地补偿安置争议协调裁决办法》规定作出裁决。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4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勘查范围和矿区范围争议裁决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协商不成的，由国务院地质矿产主管部门裁决。特定矿种的勘查范围争议，当事人协商不成的，由国务院授权的有关主管部门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探矿权人与采矿权人对勘查作业区范围和矿区范围发生争议的，由当事人协商解决；协商不成的，由发证的登记管理机关中级别高的登记管理机关裁决。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3.矿权权属证明材料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4.当事人的协商纪录</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根据矿产资源管理有关规定作出裁决。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39"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【规范性文件】《国土资源部关于加强土地资产管理促进国有企业改革和发展的若干意见》（国土资发〔1999〕433号）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六、依法行政，规范操作，切实做好国有企业改革中的土地资产管理工作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规范企业改革中的土地价格评估工作。国有企业改革涉及的土地使用权应当进行地价评估，改制为上市公司的，必须选择具有A级土地评估资质的机构进行地价评估。土地评估机构要严格遵循国家法律法规，按照国家规定的技术标准，根据企业类型、处置方式及权利状况，科学选择评估方法和相关参数，合理确定估价结果，并出具规范的土地估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【规范性文件】《国土资源部关于改革土地估价结果确认和土地资产处置审批办法的通知》（国土资发〔2001〕44号）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一、以土地估价报告备案取代土地估价结果确认审批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改革土地估价确认管理，取消确认审批，建立土地估价报告备案制度。企业改制需要进行土地估价的，应由企业自主选择土地估价机构进行评估。土地行政主管部门不再对土地估价结果进行确认。企业改制上报的土地估价报告，只要格式规范、要件齐备，土地行政主管部门将直接给予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企业改制涉及的土地已经实行有偿使用或需要转为出让或承租土地的，不再进行处置审批，直接在市、县土地行政主管部门办理变更登记或有偿用地手续。企业委托进行土地估价的，土地估价报告同时交付备案。改制涉及的土地采用国家作价出资(入股)、授权经营方式处置的，土地估价报告应在省级以上土地行政主管部门办理土地资产处置审批时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【规范性文件】《宁夏回族自治区人民政府关于加强国有土地资产管理的通知》（宁政发〔2001〕95号）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四、建立土地有形市场，制定交易规则，规范交易行为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要规范国有企业改革中划拨土地使用权的处置管理……以出让方式取得土地使用权转让的，划拨土地使用权转让、出租、抵押、作价出资或者入股的，应当经具有资质的土地估价机构进行地价评估。地价评估结果按照国家有关规定上报有土地登记权的人民政府土地行政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【规范性文件】《宁夏回族自治区国土资源厅 宁夏回族自治区人民政府国有资产监督管理委员会关于印发〈自治区属国有企业改革中涉及土地资产处置工作指导意见〉的通知》（宁国土资发〔2016〕408号）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三、处置国有土地使用权应当具备的条件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土地使用权除依法保留划拨用地方式外，采取其他方式处置的，必须进行地价评估。相关企业应委托具有相应土地估价资质的机构对涉及的国有生产经营性划拨用地予以地价评估。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六、处置土地使用权的程序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价评估结果备案和土地使用权处置方案审批”中规定“地价评估结果经所在地市、县国土资源部门初审后，报自治区国土资源部门备案。土地使用权处置方案需报自治区人民政府批准。报批时应同时提交企业改革的批准文件、资产重组方案、土地使用权证书、土地评估结果备案以及其他有关材料。企业进行公司制改造、改组或组建企业集团，属于自治区人民政府批准设立的公司和企业集团，土地估价结果报自治区国土资源部门备案，土地资产处置方案报自治区人民政府批准。自治区属国有企业实行股份合作制改组、租赁经营和出售、兼并、合并、破产的，土地估价结果报自治区国土资源部门备案，土地使用权处置方案报自治区人民政府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1.国有企业实行公司制改造、组建企业集团、股份合作制改组、租赁经营和出售、兼并、合并、破产等改革，涉及划拨土地使用权管理和处置的；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2.经营类事业单位采取国有独资、混合所有制、私营等多种形式转企改制，涉及划拨土地使用权管理和处置的。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1.土地资产处置总体方案已经自然资源主管部门核准，自治区人民政府批准；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2.受托评估机构既有自然资源部和省级自然资源行政主管部门颁发的《土地评估机构资质证书》，从业范围符合资质证书的规定；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3.土地估价报告符合规范格式要求，内容完整，结构合理，表述清楚，资料真实可靠，依据充分；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4.市县自然资源部门出具了对土地权属和地价水平的初审意见（含土地估价结果初审表）。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5"/>
                <w:rFonts w:ascii="宋体" w:hAnsi="宋体" w:eastAsia="宋体" w:cs="宋体"/>
                <w:color w:val="auto"/>
                <w:sz w:val="15"/>
                <w:szCs w:val="15"/>
                <w:highlight w:val="none"/>
                <w:lang w:val="en-US" w:eastAsia="zh-CN" w:bidi="ar"/>
              </w:rPr>
              <w:t>土地资产处置总体方案（自治区自然资源厅核准）</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1.自治区人民政府关于企业改制方案的批准文件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2.自治区人民政府关于企业土地资产处置方式的批准文件（自治区政府在批准的企业改制方案中已明确土地资产处置方式的不再提交）</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3.土地资产处置总体方案（含土地资产处置涉及的国有划拟拨土地宗地数、面积、用途以及相应采用处置方式）</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5"/>
                <w:color w:val="auto"/>
                <w:sz w:val="15"/>
                <w:szCs w:val="15"/>
                <w:highlight w:val="none"/>
                <w:lang w:val="en-US" w:eastAsia="zh-CN" w:bidi="ar"/>
              </w:rPr>
              <w:t>土地评估报告的备案（自治区自然资源厅备案）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1.有资质的土地评估机构出具的土地估价报告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2.有资质的土地评估机构出具的土地估价技术报告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3.市县自然资源部门对土地权属和地价水平的初审意见（含土地估价结果初审表）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满足许可条件即可备案。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【规范性文件】《矿业权出让转让管理暂行规定》（国土资发〔2000〕309号）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第五十七条 矿业权设定抵押时，矿业权人应持抵押合同和矿业权许可证到原发证机关办理备案手续。矿业权抵押解除后20日内，矿业权人应书面告知原发证机关。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2.抵押人和抵押权人协商一致，共同自愿申请矿业权抵押备案服务，承诺矿业权无权属争议、不存在司法纠纷和其他抵押行为，并对提交的申请材料的真实性、合法性、有效性承担法律责任。</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2.矿业权无权属争议、不存在司法纠纷和其他抵押行为。</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1.抵押双方委托书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2.受委托人身份证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3.矿业权抵押备案信息表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4.抵押人企业法人营业执照（非必要）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5.抵押权人企业法人营业执照（非必要）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6.抵押权人金融许可证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7.矿产资源采矿许可证（非必要）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符合抵押备案条件，网上信息公开。</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第三十一条第一款 测绘人员进行测绘活动时，应当持有测绘作业证件。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【规范性文件】《测绘作业证管理规定》（国测法字〔2004〕5号修订）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第三条第二款 省、自治区、直辖市人民政府测绘行政主管部门负责本行政区域内测绘作业证的审核、发放和监督管理工作。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省、自治区、直辖市人民政府测绘行政主管部门，可将测绘作业证的受理、审核、发放、注册核准等工作委托市（地）级人民政府测绘行政主管部门承担。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1.申请单位应具有自然资源厅核发的测绘资质。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2.申领测绘作业证的人员须为资质单位在职人员。</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申请单位符合申请条件，且按规定要求提供申请材料，给与核发。</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1.测绘作业证申请表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2.正面免冠彩色近照1寸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3.测绘作业证申请汇总表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1.申请单位提供的申请材料符合规定要求，给与核发测绘作业证；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2.申请单位提供的申请材料不符合规定要求，不予核发测绘作业证。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第七条第三款  自治区外测绘单位在自治区行政区域内从事测绘活动的，应当在测绘活动开始前，持有效的《测绘资质证书》和测绘人员测绘作业证件向自治区或者设区的市人民政府自然资源主管部门备案。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【规范性文件】《外省、区（市）测绘地理信息单位来宁备案登记管理办法》（宁国土资发〔2013〕194号）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测绘地理信息活动备案登记实行分级管理。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自治区国土资源（测绘地理信息）行政主管部门负责下列测绘地理信息活动备案登记工作：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（一）外省、区（市）测绘地理信息单位在自治区行政区域内从事跨越两个以上（含两个）地（市）级行政区域的测绘地理信息活动；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（二）经批准与国（境）外组织或个人采取合资、合作等方式在自治区行政区域内开展的相关测绘地理信息活动。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其他测绘地理信息活动的备案登记工作，由测绘地理信息活动所在地的地（市）级国土资源（测绘地理信息）行政主管部门负责。</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2.在宁夏区域内从事测绘活动的外地甲、乙级测绘资质单位。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3.在宁夏回族自治区境内两个及以上地级市行政区域承担测绘任务（单一地级市行政区域承担测绘任务的，在所属地级市自然资源部门办理）。</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1.外省、区（市）测绘地理信息单位来宁备案登记表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2.本单位测绘资质证书副本、营业执照（或事业单位法人证书）（非必要）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3.项目技术设计书或项目任务书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4.测绘地理信息项目合同文本或协议书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5.实施测绘地理信息项目的技术人员基本情况表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6.实施测绘地理信息项目的技术人员身份证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7.实施测绘地理信息项目的技术人员测绘作业证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8.国家测绘地理信息局批准与国（境）外组织或个人采取合资合作方式开展测绘地理信息活动的文件（与国（境）外组织或个人采取合资、合作方式开展的测绘地理信息活动应提供）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1.申请单位提供的申请材料符合规定要求，给与办理自治区外测绘单位在自治区行政区域内从事测绘活动备案；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2.申请单位提供的申请材料不符合规定要求，不予办理自治区外测绘单位在自治区行政区域内从事测绘活动备案。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2"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第十三条第一款  建设卫星导航定位基准站的，建设单位应当按照国家有关规定报国务院测绘地理信息主管部门或省、自治区、直辖市人民政府测绘地理信息主管部门备案。</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2.具有从事测绘活动的测绘资质单位。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3.在宁夏回族自治区境内建设卫星导航定位基准站的。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1.卫星导航定位基准站建设站点信息备案表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2.卫星导航定位基准站建设站网信息备案表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1.申请单位提供的申请材料符合规定要求，给与办理卫星导航定位基准站建设备案；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2.申请单位提供的申请材料不符合规定要求，不予办理卫星导航定位基准站建设备案。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bl>
    <w:p>
      <w:pPr>
        <w:rPr>
          <w:color w:val="auto"/>
          <w:highlight w:val="none"/>
        </w:rPr>
      </w:pPr>
    </w:p>
    <w:sectPr>
      <w:footerReference r:id="rId3" w:type="default"/>
      <w:pgSz w:w="23757" w:h="16783" w:orient="landscape"/>
      <w:pgMar w:top="1440" w:right="1080" w:bottom="1440" w:left="1080" w:header="851" w:footer="992" w:gutter="0"/>
      <w:pgNumType w:fmt="decimal" w:start="3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5C0AD"/>
    <w:multiLevelType w:val="singleLevel"/>
    <w:tmpl w:val="BE55C0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2381F"/>
    <w:rsid w:val="026F3F21"/>
    <w:rsid w:val="02E42E27"/>
    <w:rsid w:val="038A6B51"/>
    <w:rsid w:val="0457746C"/>
    <w:rsid w:val="04585BC8"/>
    <w:rsid w:val="085E4BA9"/>
    <w:rsid w:val="0B2577F7"/>
    <w:rsid w:val="0C967C9B"/>
    <w:rsid w:val="0D206F08"/>
    <w:rsid w:val="0D87112A"/>
    <w:rsid w:val="0F6F6204"/>
    <w:rsid w:val="0FAB2BA7"/>
    <w:rsid w:val="10263AD3"/>
    <w:rsid w:val="102A22A6"/>
    <w:rsid w:val="10B364A8"/>
    <w:rsid w:val="10C3546B"/>
    <w:rsid w:val="1114766F"/>
    <w:rsid w:val="119F3E39"/>
    <w:rsid w:val="11F3BC83"/>
    <w:rsid w:val="11FFE244"/>
    <w:rsid w:val="149A6186"/>
    <w:rsid w:val="15116F45"/>
    <w:rsid w:val="154729B0"/>
    <w:rsid w:val="16137DDA"/>
    <w:rsid w:val="168D093C"/>
    <w:rsid w:val="16A5611A"/>
    <w:rsid w:val="16B02BAB"/>
    <w:rsid w:val="16E9C493"/>
    <w:rsid w:val="172C1B56"/>
    <w:rsid w:val="17FDBE93"/>
    <w:rsid w:val="1939564D"/>
    <w:rsid w:val="1AEC1B83"/>
    <w:rsid w:val="1B9945E4"/>
    <w:rsid w:val="1BEF16CB"/>
    <w:rsid w:val="1D2E6D47"/>
    <w:rsid w:val="1DC43E10"/>
    <w:rsid w:val="1DDFF689"/>
    <w:rsid w:val="1DFB25AA"/>
    <w:rsid w:val="1EE44828"/>
    <w:rsid w:val="1EE84C91"/>
    <w:rsid w:val="1F6B6465"/>
    <w:rsid w:val="1FA9588C"/>
    <w:rsid w:val="1FC17770"/>
    <w:rsid w:val="1FCAC66E"/>
    <w:rsid w:val="1FF4069C"/>
    <w:rsid w:val="1FFB2F94"/>
    <w:rsid w:val="1FFCAD7D"/>
    <w:rsid w:val="20665515"/>
    <w:rsid w:val="20F86F1C"/>
    <w:rsid w:val="21325B51"/>
    <w:rsid w:val="21B92A79"/>
    <w:rsid w:val="21C25061"/>
    <w:rsid w:val="22D0318D"/>
    <w:rsid w:val="24BC7ED1"/>
    <w:rsid w:val="24E8570C"/>
    <w:rsid w:val="262F5F99"/>
    <w:rsid w:val="2673564E"/>
    <w:rsid w:val="26CFBA7C"/>
    <w:rsid w:val="271773CB"/>
    <w:rsid w:val="27744590"/>
    <w:rsid w:val="27ABD7B7"/>
    <w:rsid w:val="27FBBA57"/>
    <w:rsid w:val="287A18D7"/>
    <w:rsid w:val="28BF546E"/>
    <w:rsid w:val="295A1F9C"/>
    <w:rsid w:val="2A5B62CE"/>
    <w:rsid w:val="2A996579"/>
    <w:rsid w:val="2B2C39B3"/>
    <w:rsid w:val="2B4F7822"/>
    <w:rsid w:val="2B6C5D0E"/>
    <w:rsid w:val="2BD775FD"/>
    <w:rsid w:val="2BDE680E"/>
    <w:rsid w:val="2C7B7004"/>
    <w:rsid w:val="2CE7A543"/>
    <w:rsid w:val="2E2E771C"/>
    <w:rsid w:val="2E4C03A9"/>
    <w:rsid w:val="2EAFD75B"/>
    <w:rsid w:val="2EFF6A70"/>
    <w:rsid w:val="2EFF8A2D"/>
    <w:rsid w:val="2F700CFF"/>
    <w:rsid w:val="2F705A45"/>
    <w:rsid w:val="2FAFBC02"/>
    <w:rsid w:val="2FBD57AC"/>
    <w:rsid w:val="2FEC528D"/>
    <w:rsid w:val="2FFF5923"/>
    <w:rsid w:val="32865966"/>
    <w:rsid w:val="338B2BEC"/>
    <w:rsid w:val="34A62439"/>
    <w:rsid w:val="365F3157"/>
    <w:rsid w:val="36637748"/>
    <w:rsid w:val="367EA3CB"/>
    <w:rsid w:val="367FB20D"/>
    <w:rsid w:val="373120F6"/>
    <w:rsid w:val="3742601A"/>
    <w:rsid w:val="37784BF0"/>
    <w:rsid w:val="377D4A61"/>
    <w:rsid w:val="37AB88A3"/>
    <w:rsid w:val="37E4C812"/>
    <w:rsid w:val="37F99FE0"/>
    <w:rsid w:val="37FBB043"/>
    <w:rsid w:val="38026B04"/>
    <w:rsid w:val="38C37BA6"/>
    <w:rsid w:val="39FE3F3E"/>
    <w:rsid w:val="3B44E690"/>
    <w:rsid w:val="3BB95859"/>
    <w:rsid w:val="3BDBE37A"/>
    <w:rsid w:val="3BE20FD1"/>
    <w:rsid w:val="3BEDEB9B"/>
    <w:rsid w:val="3C7BB991"/>
    <w:rsid w:val="3D77B537"/>
    <w:rsid w:val="3D987D69"/>
    <w:rsid w:val="3DAD0BA0"/>
    <w:rsid w:val="3DB6A642"/>
    <w:rsid w:val="3DEF36A8"/>
    <w:rsid w:val="3E1FBEAF"/>
    <w:rsid w:val="3E3B6F04"/>
    <w:rsid w:val="3E9FC9C0"/>
    <w:rsid w:val="3EFB8715"/>
    <w:rsid w:val="3EFF931A"/>
    <w:rsid w:val="3F3E3FE5"/>
    <w:rsid w:val="3F4D4392"/>
    <w:rsid w:val="3F5AC546"/>
    <w:rsid w:val="3F5D72D4"/>
    <w:rsid w:val="3F73E819"/>
    <w:rsid w:val="3F7F7998"/>
    <w:rsid w:val="3F988FB8"/>
    <w:rsid w:val="3FBC298F"/>
    <w:rsid w:val="3FEDED3F"/>
    <w:rsid w:val="3FF4796F"/>
    <w:rsid w:val="3FF7488C"/>
    <w:rsid w:val="3FFD602B"/>
    <w:rsid w:val="3FFFAB79"/>
    <w:rsid w:val="3FFFCA1C"/>
    <w:rsid w:val="3FFFEDFF"/>
    <w:rsid w:val="41EABC59"/>
    <w:rsid w:val="42BA1955"/>
    <w:rsid w:val="42DE56EC"/>
    <w:rsid w:val="43723611"/>
    <w:rsid w:val="44481C09"/>
    <w:rsid w:val="444A7F7A"/>
    <w:rsid w:val="45C63D17"/>
    <w:rsid w:val="467E0818"/>
    <w:rsid w:val="476B24D2"/>
    <w:rsid w:val="47F7E412"/>
    <w:rsid w:val="48DA6F35"/>
    <w:rsid w:val="490B5931"/>
    <w:rsid w:val="4AFC6963"/>
    <w:rsid w:val="4B073F05"/>
    <w:rsid w:val="4BBEDDE7"/>
    <w:rsid w:val="4CF76622"/>
    <w:rsid w:val="4DBD81B2"/>
    <w:rsid w:val="4DF13F63"/>
    <w:rsid w:val="4DFA1603"/>
    <w:rsid w:val="4E053519"/>
    <w:rsid w:val="4E4B096E"/>
    <w:rsid w:val="4FC6A0D1"/>
    <w:rsid w:val="4FC9015F"/>
    <w:rsid w:val="4FDEF4AB"/>
    <w:rsid w:val="506843F1"/>
    <w:rsid w:val="50877056"/>
    <w:rsid w:val="51B35712"/>
    <w:rsid w:val="520F3C78"/>
    <w:rsid w:val="52D100B8"/>
    <w:rsid w:val="52FE4397"/>
    <w:rsid w:val="537E48B2"/>
    <w:rsid w:val="53C7A7E5"/>
    <w:rsid w:val="561EF882"/>
    <w:rsid w:val="56F6DA52"/>
    <w:rsid w:val="573B2F87"/>
    <w:rsid w:val="57E3ED41"/>
    <w:rsid w:val="57F1601F"/>
    <w:rsid w:val="57FD1823"/>
    <w:rsid w:val="57FDF579"/>
    <w:rsid w:val="58811F6A"/>
    <w:rsid w:val="595BD978"/>
    <w:rsid w:val="59C780BC"/>
    <w:rsid w:val="5A5FCB03"/>
    <w:rsid w:val="5A9D6B2D"/>
    <w:rsid w:val="5B6E4B9B"/>
    <w:rsid w:val="5BBDC34D"/>
    <w:rsid w:val="5C92381F"/>
    <w:rsid w:val="5CEED021"/>
    <w:rsid w:val="5D0A1BE7"/>
    <w:rsid w:val="5D5EFA3B"/>
    <w:rsid w:val="5DB74E36"/>
    <w:rsid w:val="5DD84602"/>
    <w:rsid w:val="5EB6465D"/>
    <w:rsid w:val="5EEF5F18"/>
    <w:rsid w:val="5EF5D59A"/>
    <w:rsid w:val="5F34357C"/>
    <w:rsid w:val="5F4A242D"/>
    <w:rsid w:val="5F7FC755"/>
    <w:rsid w:val="5F91602A"/>
    <w:rsid w:val="5F9DE24A"/>
    <w:rsid w:val="5FBBEEDB"/>
    <w:rsid w:val="5FDA011C"/>
    <w:rsid w:val="5FDE5E0F"/>
    <w:rsid w:val="5FEEC24E"/>
    <w:rsid w:val="5FEF9F7A"/>
    <w:rsid w:val="5FF2C824"/>
    <w:rsid w:val="5FFA0CFB"/>
    <w:rsid w:val="5FFF14AD"/>
    <w:rsid w:val="5FFF6B9E"/>
    <w:rsid w:val="5FFF7772"/>
    <w:rsid w:val="62214D81"/>
    <w:rsid w:val="62744038"/>
    <w:rsid w:val="62906316"/>
    <w:rsid w:val="64F7F580"/>
    <w:rsid w:val="64FF6955"/>
    <w:rsid w:val="651CCCC2"/>
    <w:rsid w:val="65BE596F"/>
    <w:rsid w:val="65DFF42B"/>
    <w:rsid w:val="66607E5C"/>
    <w:rsid w:val="667B932D"/>
    <w:rsid w:val="66BF73C2"/>
    <w:rsid w:val="66F7B3BC"/>
    <w:rsid w:val="67BB998B"/>
    <w:rsid w:val="69EE6360"/>
    <w:rsid w:val="69EF639A"/>
    <w:rsid w:val="6AFFDBB9"/>
    <w:rsid w:val="6AFFE659"/>
    <w:rsid w:val="6B3D02A3"/>
    <w:rsid w:val="6B5F2003"/>
    <w:rsid w:val="6BD6833F"/>
    <w:rsid w:val="6BEA923B"/>
    <w:rsid w:val="6BEFAF37"/>
    <w:rsid w:val="6BF450D8"/>
    <w:rsid w:val="6BFB6C31"/>
    <w:rsid w:val="6D356A5B"/>
    <w:rsid w:val="6D5F727A"/>
    <w:rsid w:val="6D6ED358"/>
    <w:rsid w:val="6DB68A20"/>
    <w:rsid w:val="6DDEF8E3"/>
    <w:rsid w:val="6DE657D3"/>
    <w:rsid w:val="6DEEB667"/>
    <w:rsid w:val="6DFD6AA3"/>
    <w:rsid w:val="6E07080E"/>
    <w:rsid w:val="6EBD1292"/>
    <w:rsid w:val="6EFDBDFF"/>
    <w:rsid w:val="6F16EDCB"/>
    <w:rsid w:val="6F4E2096"/>
    <w:rsid w:val="6F5D89A9"/>
    <w:rsid w:val="6F7FB512"/>
    <w:rsid w:val="6FAEE347"/>
    <w:rsid w:val="6FBA0514"/>
    <w:rsid w:val="6FE7DAA1"/>
    <w:rsid w:val="6FF9A739"/>
    <w:rsid w:val="6FFBA390"/>
    <w:rsid w:val="70927F69"/>
    <w:rsid w:val="72763AE3"/>
    <w:rsid w:val="72A5903E"/>
    <w:rsid w:val="72D55C2D"/>
    <w:rsid w:val="734D694C"/>
    <w:rsid w:val="73EF6A5D"/>
    <w:rsid w:val="73FD84FA"/>
    <w:rsid w:val="744A503E"/>
    <w:rsid w:val="74FF01DC"/>
    <w:rsid w:val="755D31D9"/>
    <w:rsid w:val="75B6CEB5"/>
    <w:rsid w:val="75BE9261"/>
    <w:rsid w:val="75CB3EA1"/>
    <w:rsid w:val="75EF6F66"/>
    <w:rsid w:val="76340EC1"/>
    <w:rsid w:val="76370934"/>
    <w:rsid w:val="7639BE30"/>
    <w:rsid w:val="766DF2E7"/>
    <w:rsid w:val="76E56D3E"/>
    <w:rsid w:val="775FE115"/>
    <w:rsid w:val="777203CE"/>
    <w:rsid w:val="777AB5EC"/>
    <w:rsid w:val="777AE4D6"/>
    <w:rsid w:val="779ECEEA"/>
    <w:rsid w:val="77BB0005"/>
    <w:rsid w:val="77BEBD71"/>
    <w:rsid w:val="77FA8B14"/>
    <w:rsid w:val="77FFC36D"/>
    <w:rsid w:val="78C9290B"/>
    <w:rsid w:val="78EF6749"/>
    <w:rsid w:val="792C36EC"/>
    <w:rsid w:val="79760DA6"/>
    <w:rsid w:val="797E1878"/>
    <w:rsid w:val="79BB9920"/>
    <w:rsid w:val="79CB0199"/>
    <w:rsid w:val="79EFB166"/>
    <w:rsid w:val="79FA6E23"/>
    <w:rsid w:val="79FEE1A6"/>
    <w:rsid w:val="79FF57F6"/>
    <w:rsid w:val="79FFF1A8"/>
    <w:rsid w:val="7A4F1C41"/>
    <w:rsid w:val="7A5E5F3C"/>
    <w:rsid w:val="7AD93466"/>
    <w:rsid w:val="7AF7FD53"/>
    <w:rsid w:val="7AFF18DB"/>
    <w:rsid w:val="7AFFE8A3"/>
    <w:rsid w:val="7B59B1A8"/>
    <w:rsid w:val="7B6F0AD2"/>
    <w:rsid w:val="7B7B92F7"/>
    <w:rsid w:val="7B7C3557"/>
    <w:rsid w:val="7B7FA813"/>
    <w:rsid w:val="7B9D29AC"/>
    <w:rsid w:val="7BBFFB23"/>
    <w:rsid w:val="7BC14EF5"/>
    <w:rsid w:val="7BCEF881"/>
    <w:rsid w:val="7BED56DA"/>
    <w:rsid w:val="7BF0E4ED"/>
    <w:rsid w:val="7BF5819E"/>
    <w:rsid w:val="7BF6CBFD"/>
    <w:rsid w:val="7BFACD2F"/>
    <w:rsid w:val="7BFC580E"/>
    <w:rsid w:val="7BFDFABD"/>
    <w:rsid w:val="7BFF0185"/>
    <w:rsid w:val="7BFF496C"/>
    <w:rsid w:val="7C1B3694"/>
    <w:rsid w:val="7C9E4188"/>
    <w:rsid w:val="7CF6DB58"/>
    <w:rsid w:val="7D4A535F"/>
    <w:rsid w:val="7D582C55"/>
    <w:rsid w:val="7D5F59CE"/>
    <w:rsid w:val="7D711AEA"/>
    <w:rsid w:val="7D7D5658"/>
    <w:rsid w:val="7D7E0700"/>
    <w:rsid w:val="7D7F95D6"/>
    <w:rsid w:val="7D9E0CEB"/>
    <w:rsid w:val="7D9FFD41"/>
    <w:rsid w:val="7DAFEAF9"/>
    <w:rsid w:val="7DB58A11"/>
    <w:rsid w:val="7DBF03BC"/>
    <w:rsid w:val="7DBFF0DE"/>
    <w:rsid w:val="7DDF5438"/>
    <w:rsid w:val="7DF71FCC"/>
    <w:rsid w:val="7DF97296"/>
    <w:rsid w:val="7E2C1F8F"/>
    <w:rsid w:val="7E5D950F"/>
    <w:rsid w:val="7E645010"/>
    <w:rsid w:val="7E67226B"/>
    <w:rsid w:val="7E7855E5"/>
    <w:rsid w:val="7E8F2FF0"/>
    <w:rsid w:val="7EB9616E"/>
    <w:rsid w:val="7EBB6202"/>
    <w:rsid w:val="7ECE31FD"/>
    <w:rsid w:val="7EEE5DAF"/>
    <w:rsid w:val="7EEF858C"/>
    <w:rsid w:val="7EFB6141"/>
    <w:rsid w:val="7EFC6624"/>
    <w:rsid w:val="7EFE78E7"/>
    <w:rsid w:val="7EFEF3EB"/>
    <w:rsid w:val="7EFF8DDE"/>
    <w:rsid w:val="7F1A79F8"/>
    <w:rsid w:val="7F3BD27A"/>
    <w:rsid w:val="7F5624C6"/>
    <w:rsid w:val="7F5B2724"/>
    <w:rsid w:val="7F5B55DA"/>
    <w:rsid w:val="7F635BE0"/>
    <w:rsid w:val="7F6BD8D1"/>
    <w:rsid w:val="7F6F74FA"/>
    <w:rsid w:val="7F71CB6C"/>
    <w:rsid w:val="7F776205"/>
    <w:rsid w:val="7F7E2F4F"/>
    <w:rsid w:val="7FAB08FA"/>
    <w:rsid w:val="7FAF1332"/>
    <w:rsid w:val="7FAF4DD0"/>
    <w:rsid w:val="7FB78FF3"/>
    <w:rsid w:val="7FBB14FE"/>
    <w:rsid w:val="7FD0AED8"/>
    <w:rsid w:val="7FD615FC"/>
    <w:rsid w:val="7FDE3B54"/>
    <w:rsid w:val="7FDEB7F5"/>
    <w:rsid w:val="7FDF1B9C"/>
    <w:rsid w:val="7FDF2165"/>
    <w:rsid w:val="7FDF6E37"/>
    <w:rsid w:val="7FE2BC6B"/>
    <w:rsid w:val="7FE77A44"/>
    <w:rsid w:val="7FEDC0D0"/>
    <w:rsid w:val="7FEFF6E5"/>
    <w:rsid w:val="7FF71415"/>
    <w:rsid w:val="7FF72F60"/>
    <w:rsid w:val="7FF74CDA"/>
    <w:rsid w:val="7FF76B81"/>
    <w:rsid w:val="7FFB2632"/>
    <w:rsid w:val="7FFBC8F8"/>
    <w:rsid w:val="7FFCB4E6"/>
    <w:rsid w:val="7FFD0253"/>
    <w:rsid w:val="7FFD8472"/>
    <w:rsid w:val="7FFE2492"/>
    <w:rsid w:val="7FFF3D96"/>
    <w:rsid w:val="7FFF5AE3"/>
    <w:rsid w:val="7FFF9A69"/>
    <w:rsid w:val="7FFFF838"/>
    <w:rsid w:val="8B7B5947"/>
    <w:rsid w:val="8FCFE541"/>
    <w:rsid w:val="8FDBBAE3"/>
    <w:rsid w:val="91B82DC3"/>
    <w:rsid w:val="95F39F39"/>
    <w:rsid w:val="987E770E"/>
    <w:rsid w:val="98BF7691"/>
    <w:rsid w:val="9FB7C762"/>
    <w:rsid w:val="9FBDD1BF"/>
    <w:rsid w:val="9FD5E5E8"/>
    <w:rsid w:val="9FDCC443"/>
    <w:rsid w:val="9FF6DCF1"/>
    <w:rsid w:val="9FF9B648"/>
    <w:rsid w:val="9FFF2FEF"/>
    <w:rsid w:val="A7F4EA14"/>
    <w:rsid w:val="AB67B829"/>
    <w:rsid w:val="AB9F1CF8"/>
    <w:rsid w:val="ADFFAA2C"/>
    <w:rsid w:val="AE7F4346"/>
    <w:rsid w:val="AEABC7DC"/>
    <w:rsid w:val="AF7F126C"/>
    <w:rsid w:val="AF81DEFA"/>
    <w:rsid w:val="AFAF29E5"/>
    <w:rsid w:val="AFF91CA5"/>
    <w:rsid w:val="AFFFD3CC"/>
    <w:rsid w:val="B1D7A883"/>
    <w:rsid w:val="B1DF84D7"/>
    <w:rsid w:val="B27FC243"/>
    <w:rsid w:val="B3D79668"/>
    <w:rsid w:val="B3FBC6AD"/>
    <w:rsid w:val="B53F8042"/>
    <w:rsid w:val="B6BEC713"/>
    <w:rsid w:val="B6FC6E01"/>
    <w:rsid w:val="B79DCF16"/>
    <w:rsid w:val="B7B6CD66"/>
    <w:rsid w:val="B8BF22BB"/>
    <w:rsid w:val="B998B566"/>
    <w:rsid w:val="B9C982CB"/>
    <w:rsid w:val="B9D7BE92"/>
    <w:rsid w:val="BAF7D340"/>
    <w:rsid w:val="BB71E522"/>
    <w:rsid w:val="BBB7FA59"/>
    <w:rsid w:val="BBEF1179"/>
    <w:rsid w:val="BBF795CE"/>
    <w:rsid w:val="BBFEF462"/>
    <w:rsid w:val="BCBFE6D3"/>
    <w:rsid w:val="BCFE7EC3"/>
    <w:rsid w:val="BCFFE0EF"/>
    <w:rsid w:val="BDEF63A4"/>
    <w:rsid w:val="BDFB2F62"/>
    <w:rsid w:val="BE79D880"/>
    <w:rsid w:val="BEB6D6C2"/>
    <w:rsid w:val="BEB93E59"/>
    <w:rsid w:val="BEBF56D9"/>
    <w:rsid w:val="BECFF1E0"/>
    <w:rsid w:val="BED782C9"/>
    <w:rsid w:val="BF1D2A33"/>
    <w:rsid w:val="BF377FAF"/>
    <w:rsid w:val="BF37B8ED"/>
    <w:rsid w:val="BF5FBBCE"/>
    <w:rsid w:val="BF7BA127"/>
    <w:rsid w:val="BF9D256D"/>
    <w:rsid w:val="BFA7AAEC"/>
    <w:rsid w:val="BFDF3625"/>
    <w:rsid w:val="BFDFE797"/>
    <w:rsid w:val="BFED9EA6"/>
    <w:rsid w:val="BFEF098E"/>
    <w:rsid w:val="BFF57393"/>
    <w:rsid w:val="BFF9E9FE"/>
    <w:rsid w:val="BFFCB166"/>
    <w:rsid w:val="BFFD4713"/>
    <w:rsid w:val="C2BA1FED"/>
    <w:rsid w:val="C55777B8"/>
    <w:rsid w:val="C6FE7ED4"/>
    <w:rsid w:val="C7E4AD78"/>
    <w:rsid w:val="CDF972E7"/>
    <w:rsid w:val="CE7E6023"/>
    <w:rsid w:val="CE9FBDB7"/>
    <w:rsid w:val="CF73CE07"/>
    <w:rsid w:val="CFBF1049"/>
    <w:rsid w:val="CFBF1CA4"/>
    <w:rsid w:val="CFCAD1BC"/>
    <w:rsid w:val="CFCD48A4"/>
    <w:rsid w:val="CFFFE154"/>
    <w:rsid w:val="D1FC21A5"/>
    <w:rsid w:val="D3FE1D1B"/>
    <w:rsid w:val="D47ABA00"/>
    <w:rsid w:val="D5ABCA45"/>
    <w:rsid w:val="D5EF0B0C"/>
    <w:rsid w:val="D673DFCF"/>
    <w:rsid w:val="D6AE5587"/>
    <w:rsid w:val="D795A0EF"/>
    <w:rsid w:val="D7BE3A6D"/>
    <w:rsid w:val="D7EB5234"/>
    <w:rsid w:val="D7EF3D2B"/>
    <w:rsid w:val="D7F5126B"/>
    <w:rsid w:val="D7F7FCC0"/>
    <w:rsid w:val="D7FFC73B"/>
    <w:rsid w:val="D95FB087"/>
    <w:rsid w:val="DAB1A98A"/>
    <w:rsid w:val="DB6E7F4E"/>
    <w:rsid w:val="DB77CD9E"/>
    <w:rsid w:val="DCFB3BB4"/>
    <w:rsid w:val="DD4BBBA3"/>
    <w:rsid w:val="DDB7D2CB"/>
    <w:rsid w:val="DDCD3FD2"/>
    <w:rsid w:val="DDDFE8E6"/>
    <w:rsid w:val="DDF30BC2"/>
    <w:rsid w:val="DDFD666F"/>
    <w:rsid w:val="DECF1463"/>
    <w:rsid w:val="DF2F3D00"/>
    <w:rsid w:val="DF654BAC"/>
    <w:rsid w:val="DF7F664E"/>
    <w:rsid w:val="DF9270F5"/>
    <w:rsid w:val="DFA6C776"/>
    <w:rsid w:val="DFB755C4"/>
    <w:rsid w:val="DFBF04F8"/>
    <w:rsid w:val="DFDBCE12"/>
    <w:rsid w:val="DFDCB8BB"/>
    <w:rsid w:val="DFFCF594"/>
    <w:rsid w:val="DFFEA2F1"/>
    <w:rsid w:val="DFFFD6E1"/>
    <w:rsid w:val="E1FE4BAB"/>
    <w:rsid w:val="E44ECB96"/>
    <w:rsid w:val="E77F151C"/>
    <w:rsid w:val="E7BDC155"/>
    <w:rsid w:val="E7BF28D7"/>
    <w:rsid w:val="E7ED91DF"/>
    <w:rsid w:val="E7EF1AD2"/>
    <w:rsid w:val="E7FEA76A"/>
    <w:rsid w:val="E7FEE2EB"/>
    <w:rsid w:val="E8D33958"/>
    <w:rsid w:val="E95732F8"/>
    <w:rsid w:val="E9BEC593"/>
    <w:rsid w:val="EA23EF19"/>
    <w:rsid w:val="EA7FD47C"/>
    <w:rsid w:val="EAD7752D"/>
    <w:rsid w:val="EB3FFBEA"/>
    <w:rsid w:val="EB77F845"/>
    <w:rsid w:val="EB795606"/>
    <w:rsid w:val="EBE702E8"/>
    <w:rsid w:val="EBEA0AB5"/>
    <w:rsid w:val="EBF30BE7"/>
    <w:rsid w:val="ECB3FB1B"/>
    <w:rsid w:val="ED31EA19"/>
    <w:rsid w:val="ED531BAB"/>
    <w:rsid w:val="EDD2F8FB"/>
    <w:rsid w:val="EDE7BD04"/>
    <w:rsid w:val="EDEC3D16"/>
    <w:rsid w:val="EDFB2F13"/>
    <w:rsid w:val="EE3E85C1"/>
    <w:rsid w:val="EE5EDABE"/>
    <w:rsid w:val="EE6C38E7"/>
    <w:rsid w:val="EEF32BAA"/>
    <w:rsid w:val="EF1D9A89"/>
    <w:rsid w:val="EF615C9C"/>
    <w:rsid w:val="EF7993A7"/>
    <w:rsid w:val="EF79E47C"/>
    <w:rsid w:val="EF7FC8E0"/>
    <w:rsid w:val="EF9F2EAF"/>
    <w:rsid w:val="EFCDD021"/>
    <w:rsid w:val="EFD2972E"/>
    <w:rsid w:val="EFDF6A0A"/>
    <w:rsid w:val="EFF91540"/>
    <w:rsid w:val="F16F991A"/>
    <w:rsid w:val="F2F40B96"/>
    <w:rsid w:val="F2FA5418"/>
    <w:rsid w:val="F2FDEEEA"/>
    <w:rsid w:val="F3BB3764"/>
    <w:rsid w:val="F3FB222A"/>
    <w:rsid w:val="F4E7E07E"/>
    <w:rsid w:val="F4F79C74"/>
    <w:rsid w:val="F53FF6C5"/>
    <w:rsid w:val="F61F53E4"/>
    <w:rsid w:val="F6B78EAE"/>
    <w:rsid w:val="F7392E68"/>
    <w:rsid w:val="F73FC4BC"/>
    <w:rsid w:val="F77DA294"/>
    <w:rsid w:val="F77F286F"/>
    <w:rsid w:val="F7CD9206"/>
    <w:rsid w:val="F7ED6D03"/>
    <w:rsid w:val="F7F5D2BA"/>
    <w:rsid w:val="F7F7981F"/>
    <w:rsid w:val="F7FBEE30"/>
    <w:rsid w:val="F7FC2B2D"/>
    <w:rsid w:val="F7FD943E"/>
    <w:rsid w:val="F7FF7B45"/>
    <w:rsid w:val="F8231E58"/>
    <w:rsid w:val="F86B4E48"/>
    <w:rsid w:val="F8FEA487"/>
    <w:rsid w:val="F8FF451F"/>
    <w:rsid w:val="F93220EC"/>
    <w:rsid w:val="F9AF6A5D"/>
    <w:rsid w:val="F9BDD660"/>
    <w:rsid w:val="F9FCA8F0"/>
    <w:rsid w:val="F9FFA22B"/>
    <w:rsid w:val="FA976E7E"/>
    <w:rsid w:val="FADE8F66"/>
    <w:rsid w:val="FAFF2327"/>
    <w:rsid w:val="FB0F0DB8"/>
    <w:rsid w:val="FB339B20"/>
    <w:rsid w:val="FB5FC082"/>
    <w:rsid w:val="FB7F16F4"/>
    <w:rsid w:val="FBAF879D"/>
    <w:rsid w:val="FBB6BCCA"/>
    <w:rsid w:val="FBBF51D9"/>
    <w:rsid w:val="FBD793D9"/>
    <w:rsid w:val="FBF7A720"/>
    <w:rsid w:val="FBFB5F98"/>
    <w:rsid w:val="FBFB7B8F"/>
    <w:rsid w:val="FCCF6CBC"/>
    <w:rsid w:val="FCED828E"/>
    <w:rsid w:val="FCEF99B0"/>
    <w:rsid w:val="FCFF6375"/>
    <w:rsid w:val="FD47CD49"/>
    <w:rsid w:val="FD5EFE7C"/>
    <w:rsid w:val="FD77ADBE"/>
    <w:rsid w:val="FD7FC279"/>
    <w:rsid w:val="FDAFC385"/>
    <w:rsid w:val="FDB7961A"/>
    <w:rsid w:val="FDBF0764"/>
    <w:rsid w:val="FDD65BF3"/>
    <w:rsid w:val="FDDF226F"/>
    <w:rsid w:val="FDEF5B46"/>
    <w:rsid w:val="FDFCBCDB"/>
    <w:rsid w:val="FDFF14FD"/>
    <w:rsid w:val="FDFF7A7A"/>
    <w:rsid w:val="FE2DC131"/>
    <w:rsid w:val="FE7FD238"/>
    <w:rsid w:val="FEB2E19B"/>
    <w:rsid w:val="FEBE2DC8"/>
    <w:rsid w:val="FEBF3FF2"/>
    <w:rsid w:val="FEBFDC5F"/>
    <w:rsid w:val="FEDF43CC"/>
    <w:rsid w:val="FEDF899E"/>
    <w:rsid w:val="FEEF8DC4"/>
    <w:rsid w:val="FEF1737F"/>
    <w:rsid w:val="FEFA5544"/>
    <w:rsid w:val="FEFC5830"/>
    <w:rsid w:val="FEFF556D"/>
    <w:rsid w:val="FEFF7219"/>
    <w:rsid w:val="FEFF8CE5"/>
    <w:rsid w:val="FF3E85DB"/>
    <w:rsid w:val="FF3F15E8"/>
    <w:rsid w:val="FF597E74"/>
    <w:rsid w:val="FF5F292F"/>
    <w:rsid w:val="FF61FFB3"/>
    <w:rsid w:val="FF6D9452"/>
    <w:rsid w:val="FF77A4AF"/>
    <w:rsid w:val="FF77BFD1"/>
    <w:rsid w:val="FF7FB5E8"/>
    <w:rsid w:val="FFB5AC70"/>
    <w:rsid w:val="FFBB63F4"/>
    <w:rsid w:val="FFBDAFA4"/>
    <w:rsid w:val="FFBF1D9C"/>
    <w:rsid w:val="FFBFB001"/>
    <w:rsid w:val="FFBFD560"/>
    <w:rsid w:val="FFC7C319"/>
    <w:rsid w:val="FFCFB8FC"/>
    <w:rsid w:val="FFCFE179"/>
    <w:rsid w:val="FFD3D82C"/>
    <w:rsid w:val="FFD72C5B"/>
    <w:rsid w:val="FFD72E10"/>
    <w:rsid w:val="FFD7C6E7"/>
    <w:rsid w:val="FFDBBAA6"/>
    <w:rsid w:val="FFDC7F04"/>
    <w:rsid w:val="FFDF0A22"/>
    <w:rsid w:val="FFE41FAD"/>
    <w:rsid w:val="FFEB4DD9"/>
    <w:rsid w:val="FFEE4037"/>
    <w:rsid w:val="FFEF143B"/>
    <w:rsid w:val="FFEF3E09"/>
    <w:rsid w:val="FFEF5B98"/>
    <w:rsid w:val="FFF1D44A"/>
    <w:rsid w:val="FFF6A514"/>
    <w:rsid w:val="FFF9815A"/>
    <w:rsid w:val="FFFA62F8"/>
    <w:rsid w:val="FFFB93A9"/>
    <w:rsid w:val="FFFC5061"/>
    <w:rsid w:val="FFFD54C4"/>
    <w:rsid w:val="FFFECC5B"/>
    <w:rsid w:val="FFFF00E3"/>
    <w:rsid w:val="FFFF7B3F"/>
    <w:rsid w:val="FFFFA34F"/>
    <w:rsid w:val="FFFFC8CE"/>
    <w:rsid w:val="FFFFC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spacing w:after="120"/>
      <w:ind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footnote text"/>
    <w:qFormat/>
    <w:uiPriority w:val="0"/>
    <w:pPr>
      <w:widowControl w:val="0"/>
    </w:pPr>
    <w:rPr>
      <w:rFonts w:ascii="Times New Roman" w:hAnsi="Times New Roman" w:eastAsia="PMingLiU" w:cs="Arial"/>
      <w:color w:val="000000"/>
      <w:kern w:val="2"/>
      <w:sz w:val="18"/>
      <w:szCs w:val="24"/>
      <w:lang w:val="en-US" w:eastAsia="zh-CN" w:bidi="ar-SA"/>
    </w:rPr>
  </w:style>
  <w:style w:type="paragraph" w:styleId="5">
    <w:name w:val="Body Text First Indent"/>
    <w:basedOn w:val="6"/>
    <w:next w:val="2"/>
    <w:qFormat/>
    <w:uiPriority w:val="0"/>
    <w:pPr>
      <w:spacing w:after="120"/>
      <w:ind w:firstLine="420" w:firstLineChars="100"/>
      <w:jc w:val="both"/>
    </w:pPr>
    <w:rPr>
      <w:sz w:val="21"/>
    </w:rPr>
  </w:style>
  <w:style w:type="paragraph" w:styleId="6">
    <w:name w:val="Body Text"/>
    <w:basedOn w:val="1"/>
    <w:next w:val="5"/>
    <w:qFormat/>
    <w:uiPriority w:val="0"/>
    <w:pPr>
      <w:jc w:val="center"/>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51"/>
    <w:basedOn w:val="11"/>
    <w:qFormat/>
    <w:uiPriority w:val="0"/>
    <w:rPr>
      <w:rFonts w:hint="eastAsia" w:ascii="宋体" w:hAnsi="宋体" w:eastAsia="宋体" w:cs="宋体"/>
      <w:color w:val="000000"/>
      <w:sz w:val="36"/>
      <w:szCs w:val="36"/>
      <w:u w:val="none"/>
    </w:rPr>
  </w:style>
  <w:style w:type="character" w:customStyle="1" w:styleId="13">
    <w:name w:val="font121"/>
    <w:basedOn w:val="11"/>
    <w:qFormat/>
    <w:uiPriority w:val="0"/>
    <w:rPr>
      <w:rFonts w:hint="eastAsia" w:ascii="宋体" w:hAnsi="宋体" w:eastAsia="宋体" w:cs="宋体"/>
      <w:b/>
      <w:color w:val="000000"/>
      <w:sz w:val="36"/>
      <w:szCs w:val="36"/>
      <w:u w:val="none"/>
    </w:rPr>
  </w:style>
  <w:style w:type="character" w:customStyle="1" w:styleId="14">
    <w:name w:val="font21"/>
    <w:basedOn w:val="11"/>
    <w:qFormat/>
    <w:uiPriority w:val="0"/>
    <w:rPr>
      <w:rFonts w:hint="eastAsia" w:ascii="宋体" w:hAnsi="宋体" w:eastAsia="宋体" w:cs="宋体"/>
      <w:color w:val="000000"/>
      <w:sz w:val="36"/>
      <w:szCs w:val="36"/>
      <w:u w:val="none"/>
    </w:rPr>
  </w:style>
  <w:style w:type="character" w:customStyle="1" w:styleId="15">
    <w:name w:val="font131"/>
    <w:basedOn w:val="11"/>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2020-08-30T09:05:00Z</dcterms:created>
  <dc:creator>Athena</dc:creator>
  <cp:lastModifiedBy>nosand</cp:lastModifiedBy>
  <cp:lastPrinted>2022-01-09T23:15:00Z</cp:lastPrinted>
  <dcterms:modified xsi:type="dcterms:W3CDTF">2022-05-30T07:35:29Z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