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1766" w:right="707" w:hanging="840"/>
        <w:textAlignment w:val="baseline"/>
        <w:rPr>
          <w:rFonts w:hint="eastAsia" w:ascii="方正小标宋_GBK" w:hAnsi="宋体" w:eastAsia="方正小标宋_GBK" w:cs="宋体"/>
          <w:b/>
          <w:bCs/>
          <w:spacing w:val="-9"/>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1766" w:right="707" w:hanging="840"/>
        <w:textAlignment w:val="baseline"/>
        <w:rPr>
          <w:rFonts w:hint="eastAsia" w:ascii="方正小标宋_GBK" w:hAnsi="宋体" w:eastAsia="方正小标宋_GBK" w:cs="宋体"/>
          <w:b/>
          <w:bCs/>
          <w:spacing w:val="-9"/>
          <w:sz w:val="44"/>
          <w:szCs w:val="44"/>
        </w:rPr>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1766" w:right="707" w:hanging="840"/>
        <w:textAlignment w:val="baseline"/>
        <w:rPr>
          <w:rFonts w:hint="eastAsia" w:ascii="方正小标宋_GBK" w:hAnsi="宋体" w:eastAsia="方正小标宋_GBK" w:cs="宋体"/>
          <w:b/>
          <w:bCs/>
          <w:spacing w:val="-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_GBK" w:hAnsi="宋体" w:eastAsia="方正小标宋_GBK" w:cs="宋体"/>
          <w:b w:val="0"/>
          <w:bCs w:val="0"/>
          <w:sz w:val="44"/>
          <w:szCs w:val="44"/>
        </w:rPr>
      </w:pPr>
      <w:r>
        <w:rPr>
          <w:rFonts w:hint="eastAsia" w:ascii="方正小标宋_GBK" w:hAnsi="宋体" w:eastAsia="方正小标宋_GBK" w:cs="宋体"/>
          <w:b w:val="0"/>
          <w:bCs w:val="0"/>
          <w:spacing w:val="-9"/>
          <w:sz w:val="44"/>
          <w:szCs w:val="44"/>
          <w:lang w:eastAsia="zh-CN"/>
        </w:rPr>
        <w:t>宁夏回族自治区自然资源厅关于进一步做好城镇开发边界外零星城镇建设用地准入有关事宜的通知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hanging="840"/>
        <w:textAlignment w:val="baseline"/>
        <w:rPr>
          <w:rFonts w:hint="eastAsia" w:ascii="方正小标宋_GBK" w:hAnsi="宋体" w:eastAsia="方正小标宋_GBK" w:cs="宋体"/>
          <w:b/>
          <w:bCs/>
          <w:spacing w:val="-9"/>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方正仿宋_GBK" w:hAnsi="Times New Roman" w:eastAsia="方正仿宋_GBK" w:cs="Times New Roman"/>
          <w:snapToGrid/>
          <w:color w:val="auto"/>
          <w:kern w:val="2"/>
          <w:sz w:val="32"/>
          <w:szCs w:val="32"/>
        </w:rPr>
      </w:pPr>
      <w:r>
        <w:rPr>
          <w:rFonts w:ascii="方正仿宋_GBK" w:hAnsi="Times New Roman" w:eastAsia="方正仿宋_GBK" w:cs="Times New Roman"/>
          <w:snapToGrid/>
          <w:color w:val="auto"/>
          <w:kern w:val="2"/>
          <w:sz w:val="32"/>
          <w:szCs w:val="32"/>
        </w:rPr>
        <w:t>各市、县</w:t>
      </w:r>
      <w:r>
        <w:rPr>
          <w:rFonts w:hint="eastAsia" w:ascii="方正仿宋_GBK" w:hAnsi="Times New Roman" w:eastAsia="方正仿宋_GBK" w:cs="Times New Roman"/>
          <w:snapToGrid/>
          <w:color w:val="auto"/>
          <w:kern w:val="2"/>
          <w:sz w:val="32"/>
          <w:szCs w:val="32"/>
          <w:lang w:eastAsia="zh-CN"/>
        </w:rPr>
        <w:t>（区）</w:t>
      </w:r>
      <w:r>
        <w:rPr>
          <w:rFonts w:ascii="方正仿宋_GBK" w:hAnsi="Times New Roman" w:eastAsia="方正仿宋_GBK" w:cs="Times New Roman"/>
          <w:snapToGrid/>
          <w:color w:val="auto"/>
          <w:kern w:val="2"/>
          <w:sz w:val="32"/>
          <w:szCs w:val="32"/>
        </w:rPr>
        <w:t>自然资源局：</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方正仿宋_GBK" w:hAnsi="Times New Roman" w:eastAsia="方正仿宋_GBK" w:cs="Times New Roman"/>
          <w:b w:val="0"/>
          <w:bCs w:val="0"/>
          <w:snapToGrid/>
          <w:color w:val="auto"/>
          <w:kern w:val="2"/>
          <w:sz w:val="32"/>
          <w:szCs w:val="32"/>
          <w:lang w:eastAsia="zh-CN"/>
        </w:rPr>
      </w:pPr>
      <w:r>
        <w:rPr>
          <w:rFonts w:hint="eastAsia" w:ascii="方正仿宋_GBK" w:hAnsi="Times New Roman" w:eastAsia="方正仿宋_GBK" w:cs="Times New Roman"/>
          <w:snapToGrid/>
          <w:color w:val="auto"/>
          <w:kern w:val="2"/>
          <w:sz w:val="32"/>
          <w:szCs w:val="32"/>
          <w:lang w:eastAsia="zh-CN"/>
        </w:rPr>
        <w:t>为贯彻落实</w:t>
      </w:r>
      <w:r>
        <w:rPr>
          <w:rFonts w:hint="eastAsia" w:ascii="方正仿宋_GBK" w:hAnsi="Times New Roman" w:eastAsia="方正仿宋_GBK" w:cs="Times New Roman"/>
          <w:snapToGrid/>
          <w:color w:val="auto"/>
          <w:kern w:val="2"/>
          <w:sz w:val="32"/>
          <w:szCs w:val="32"/>
        </w:rPr>
        <w:t>《</w:t>
      </w:r>
      <w:r>
        <w:rPr>
          <w:rFonts w:hint="eastAsia" w:ascii="方正仿宋_GBK" w:hAnsi="Times New Roman" w:eastAsia="方正仿宋_GBK" w:cs="Times New Roman"/>
          <w:snapToGrid/>
          <w:color w:val="auto"/>
          <w:kern w:val="2"/>
          <w:sz w:val="32"/>
          <w:szCs w:val="32"/>
          <w:lang w:eastAsia="zh-CN"/>
        </w:rPr>
        <w:t>自然资源部</w:t>
      </w:r>
      <w:r>
        <w:rPr>
          <w:rFonts w:hint="eastAsia" w:ascii="方正仿宋_GBK" w:hAnsi="Times New Roman" w:eastAsia="方正仿宋_GBK" w:cs="Times New Roman"/>
          <w:snapToGrid/>
          <w:color w:val="auto"/>
          <w:kern w:val="2"/>
          <w:sz w:val="32"/>
          <w:szCs w:val="32"/>
        </w:rPr>
        <w:t>关于做好城镇开发边界管理的通知（试行）》</w:t>
      </w:r>
      <w:r>
        <w:rPr>
          <w:rFonts w:hint="eastAsia" w:ascii="方正仿宋_GBK" w:hAnsi="Times New Roman" w:eastAsia="方正仿宋_GBK" w:cs="Times New Roman"/>
          <w:snapToGrid/>
          <w:color w:val="auto"/>
          <w:kern w:val="2"/>
          <w:sz w:val="32"/>
          <w:szCs w:val="32"/>
          <w:lang w:eastAsia="zh-CN"/>
        </w:rPr>
        <w:t>（以下简称“部</w:t>
      </w:r>
      <w:r>
        <w:rPr>
          <w:rFonts w:hint="eastAsia" w:ascii="方正仿宋_GBK" w:hAnsi="Times New Roman" w:eastAsia="方正仿宋_GBK" w:cs="Times New Roman"/>
          <w:snapToGrid/>
          <w:color w:val="auto"/>
          <w:kern w:val="2"/>
          <w:sz w:val="32"/>
          <w:szCs w:val="32"/>
          <w:lang w:val="en-US" w:eastAsia="zh-CN"/>
        </w:rPr>
        <w:t>193号文</w:t>
      </w:r>
      <w:r>
        <w:rPr>
          <w:rFonts w:hint="eastAsia" w:ascii="方正仿宋_GBK" w:hAnsi="Times New Roman" w:eastAsia="方正仿宋_GBK" w:cs="Times New Roman"/>
          <w:snapToGrid/>
          <w:color w:val="auto"/>
          <w:kern w:val="2"/>
          <w:sz w:val="32"/>
          <w:szCs w:val="32"/>
          <w:lang w:eastAsia="zh-CN"/>
        </w:rPr>
        <w:t>”），</w:t>
      </w:r>
      <w:r>
        <w:rPr>
          <w:rFonts w:hint="eastAsia" w:ascii="方正仿宋_GBK" w:hAnsi="方正仿宋_GBK" w:eastAsia="方正仿宋_GBK" w:cs="方正仿宋_GBK"/>
          <w:b w:val="0"/>
          <w:bCs w:val="0"/>
          <w:color w:val="000000"/>
          <w:sz w:val="31"/>
          <w:szCs w:val="31"/>
          <w:lang w:eastAsia="zh-CN"/>
        </w:rPr>
        <w:t>进一步</w:t>
      </w:r>
      <w:r>
        <w:rPr>
          <w:rFonts w:hint="eastAsia" w:ascii="方正仿宋_GBK" w:hAnsi="Times New Roman" w:eastAsia="方正仿宋_GBK" w:cs="Times New Roman"/>
          <w:snapToGrid/>
          <w:color w:val="auto"/>
          <w:kern w:val="2"/>
          <w:sz w:val="32"/>
          <w:szCs w:val="32"/>
          <w:lang w:eastAsia="zh-CN"/>
        </w:rPr>
        <w:t>规范城镇开发边界外零星城镇建设用地管理，现将有关事宜通知如下。</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600" w:lineRule="exact"/>
        <w:ind w:left="0" w:leftChars="0" w:right="0" w:firstLine="0" w:firstLineChars="0"/>
        <w:textAlignment w:val="baseline"/>
        <w:rPr>
          <w:rFonts w:hint="eastAsia" w:ascii="方正仿宋_GBK" w:hAnsi="方正仿宋_GBK" w:eastAsia="方正仿宋_GBK" w:cs="方正仿宋_GBK"/>
          <w:i w:val="0"/>
          <w:caps w:val="0"/>
          <w:snapToGrid w:val="0"/>
          <w:color w:val="000000"/>
          <w:spacing w:val="0"/>
          <w:kern w:val="0"/>
          <w:sz w:val="32"/>
          <w:szCs w:val="32"/>
          <w:highlight w:val="none"/>
          <w:shd w:val="clear" w:fill="FFFFFF"/>
          <w:lang w:val="en-US" w:eastAsia="zh-CN" w:bidi="ar"/>
        </w:rPr>
      </w:pPr>
      <w:r>
        <w:rPr>
          <w:rFonts w:hint="eastAsia" w:ascii="黑体" w:hAnsi="黑体" w:eastAsia="黑体" w:cs="黑体"/>
          <w:b w:val="0"/>
          <w:bCs w:val="0"/>
          <w:color w:val="000000"/>
          <w:sz w:val="31"/>
          <w:szCs w:val="31"/>
          <w:lang w:val="en-US" w:eastAsia="zh-CN"/>
        </w:rPr>
        <w:t xml:space="preserve">    </w:t>
      </w:r>
      <w:r>
        <w:rPr>
          <w:rFonts w:hint="eastAsia" w:ascii="黑体" w:hAnsi="黑体" w:eastAsia="黑体" w:cs="黑体"/>
          <w:b w:val="0"/>
          <w:bCs w:val="0"/>
          <w:color w:val="000000"/>
          <w:sz w:val="32"/>
          <w:szCs w:val="32"/>
          <w:lang w:val="en-US" w:eastAsia="zh-CN"/>
        </w:rPr>
        <w:t>一、明确</w:t>
      </w:r>
      <w:r>
        <w:rPr>
          <w:rFonts w:hint="eastAsia" w:ascii="黑体" w:hAnsi="黑体" w:eastAsia="黑体" w:cs="黑体"/>
          <w:b w:val="0"/>
          <w:bCs w:val="0"/>
          <w:spacing w:val="0"/>
          <w:sz w:val="32"/>
          <w:szCs w:val="32"/>
          <w:lang w:eastAsia="zh-CN"/>
        </w:rPr>
        <w:t>准入情形。</w:t>
      </w:r>
      <w:r>
        <w:rPr>
          <w:rFonts w:hint="eastAsia" w:ascii="方正仿宋_GBK" w:hAnsi="方正仿宋_GBK" w:eastAsia="方正仿宋_GBK" w:cs="方正仿宋_GBK"/>
          <w:i w:val="0"/>
          <w:caps w:val="0"/>
          <w:snapToGrid w:val="0"/>
          <w:color w:val="000000"/>
          <w:spacing w:val="0"/>
          <w:kern w:val="0"/>
          <w:sz w:val="32"/>
          <w:szCs w:val="32"/>
          <w:highlight w:val="none"/>
          <w:shd w:val="clear" w:fill="FFFFFF"/>
          <w:lang w:val="en-US" w:eastAsia="zh-CN" w:bidi="ar"/>
        </w:rPr>
        <w:t>除乡村建设用地以及</w:t>
      </w:r>
      <w:r>
        <w:rPr>
          <w:rFonts w:hint="eastAsia" w:ascii="方正仿宋_GBK" w:hAnsi="方正仿宋_GBK" w:eastAsia="方正仿宋_GBK" w:cs="方正仿宋_GBK"/>
          <w:color w:val="000000"/>
          <w:sz w:val="32"/>
          <w:szCs w:val="32"/>
          <w:highlight w:val="none"/>
          <w:lang w:eastAsia="zh-CN"/>
        </w:rPr>
        <w:t>交通、能源、水利、矿山、军事用地、文物古迹、监教场所、殡葬、风景名胜等按单独选址方式报批的项目用地外</w:t>
      </w:r>
      <w:r>
        <w:rPr>
          <w:rFonts w:hint="eastAsia" w:ascii="方正仿宋_GBK" w:hAnsi="方正仿宋_GBK" w:eastAsia="方正仿宋_GBK" w:cs="方正仿宋_GBK"/>
          <w:i w:val="0"/>
          <w:caps w:val="0"/>
          <w:snapToGrid w:val="0"/>
          <w:color w:val="000000"/>
          <w:spacing w:val="0"/>
          <w:kern w:val="0"/>
          <w:sz w:val="32"/>
          <w:szCs w:val="32"/>
          <w:highlight w:val="none"/>
          <w:shd w:val="clear" w:fill="FFFFFF"/>
          <w:lang w:val="en-US" w:eastAsia="zh-CN" w:bidi="ar"/>
        </w:rPr>
        <w:t>，城镇建设用地应优先考虑在城镇开发边界内布局，</w:t>
      </w:r>
      <w:r>
        <w:rPr>
          <w:rFonts w:hint="eastAsia" w:ascii="方正仿宋_GBK" w:hAnsi="方正仿宋_GBK" w:eastAsia="方正仿宋_GBK" w:cs="方正仿宋_GBK"/>
          <w:b w:val="0"/>
          <w:bCs w:val="0"/>
          <w:color w:val="000000"/>
          <w:sz w:val="31"/>
          <w:szCs w:val="31"/>
          <w:lang w:val="en-US" w:eastAsia="zh-CN"/>
        </w:rPr>
        <w:t>在落实最严格的耕地保护、节约用地和生态环境保护制度前</w:t>
      </w:r>
      <w:r>
        <w:rPr>
          <w:rFonts w:hint="default" w:ascii="方正仿宋_GBK" w:hAnsi="方正仿宋_GBK" w:eastAsia="方正仿宋_GBK" w:cs="方正仿宋_GBK"/>
          <w:b w:val="0"/>
          <w:bCs w:val="0"/>
          <w:color w:val="000000"/>
          <w:sz w:val="31"/>
          <w:szCs w:val="31"/>
          <w:lang w:val="en-US" w:eastAsia="zh-CN"/>
        </w:rPr>
        <w:t>提下，结合城乡融合、区域一体化发展和旅游开发等合理需要，</w:t>
      </w:r>
      <w:r>
        <w:rPr>
          <w:rFonts w:hint="eastAsia" w:ascii="方正仿宋_GBK" w:hAnsi="方正仿宋_GBK" w:eastAsia="方正仿宋_GBK" w:cs="方正仿宋_GBK"/>
          <w:i w:val="0"/>
          <w:caps w:val="0"/>
          <w:snapToGrid w:val="0"/>
          <w:color w:val="000000"/>
          <w:spacing w:val="0"/>
          <w:kern w:val="0"/>
          <w:sz w:val="32"/>
          <w:szCs w:val="32"/>
          <w:highlight w:val="none"/>
          <w:shd w:val="clear" w:fill="FFFFFF"/>
          <w:lang w:val="en-US" w:eastAsia="zh-CN" w:bidi="ar"/>
        </w:rPr>
        <w:t>允许在城镇开发边界外布局以下零星城镇建设用地，详见附件。</w:t>
      </w:r>
    </w:p>
    <w:p>
      <w:pPr>
        <w:numPr>
          <w:ilvl w:val="0"/>
          <w:numId w:val="0"/>
        </w:numPr>
        <w:spacing w:line="600" w:lineRule="exact"/>
        <w:ind w:firstLine="620" w:firstLineChars="200"/>
        <w:rPr>
          <w:rFonts w:hint="eastAsia"/>
          <w:lang w:val="en-US" w:eastAsia="zh-CN"/>
        </w:rPr>
      </w:pPr>
      <w:r>
        <w:rPr>
          <w:rFonts w:hint="eastAsia" w:ascii="黑体" w:hAnsi="黑体" w:eastAsia="黑体" w:cs="黑体"/>
          <w:b w:val="0"/>
          <w:bCs w:val="0"/>
          <w:color w:val="000000"/>
          <w:sz w:val="31"/>
          <w:szCs w:val="31"/>
          <w:lang w:val="en-US" w:eastAsia="zh-CN"/>
        </w:rPr>
        <w:t>二、严格规模管控。</w:t>
      </w:r>
      <w:r>
        <w:rPr>
          <w:rFonts w:hint="eastAsia" w:ascii="方正仿宋_GBK" w:hAnsi="Times New Roman" w:eastAsia="方正仿宋_GBK" w:cs="Times New Roman"/>
          <w:b w:val="0"/>
          <w:bCs w:val="0"/>
          <w:snapToGrid/>
          <w:color w:val="000000"/>
          <w:kern w:val="2"/>
          <w:sz w:val="32"/>
          <w:szCs w:val="32"/>
          <w:lang w:val="en-US" w:eastAsia="zh-CN"/>
        </w:rPr>
        <w:t>城镇开发边界外新增城镇建设用地规模实行总量控制，</w:t>
      </w:r>
      <w:r>
        <w:rPr>
          <w:rFonts w:hint="eastAsia" w:ascii="方正仿宋_GBK" w:hAnsi="Times New Roman" w:eastAsia="方正仿宋_GBK" w:cs="Times New Roman"/>
          <w:b w:val="0"/>
          <w:bCs w:val="0"/>
          <w:snapToGrid/>
          <w:color w:val="000000"/>
          <w:kern w:val="2"/>
          <w:sz w:val="32"/>
          <w:szCs w:val="32"/>
          <w:highlight w:val="none"/>
          <w:lang w:val="en-US" w:eastAsia="zh-CN"/>
        </w:rPr>
        <w:t>原则上不得超过各市县城镇开发边界内增量用地分阶段总量控制（“十五五”“十六五”</w:t>
      </w:r>
      <w:r>
        <w:rPr>
          <w:rFonts w:hint="eastAsia" w:ascii="方正仿宋_GBK" w:hAnsi="Times New Roman" w:eastAsia="方正仿宋_GBK" w:cs="Times New Roman"/>
          <w:i w:val="0"/>
          <w:caps w:val="0"/>
          <w:snapToGrid/>
          <w:color w:val="000000"/>
          <w:spacing w:val="0"/>
          <w:kern w:val="2"/>
          <w:sz w:val="32"/>
          <w:szCs w:val="32"/>
          <w:shd w:val="clear" w:fill="auto"/>
          <w:lang w:val="en-US" w:eastAsia="zh-CN" w:bidi="ar"/>
        </w:rPr>
        <w:t>期间至少留下35%、25%的增量用地</w:t>
      </w:r>
      <w:r>
        <w:rPr>
          <w:rFonts w:hint="eastAsia" w:ascii="方正仿宋_GBK" w:hAnsi="Times New Roman" w:eastAsia="方正仿宋_GBK" w:cs="Times New Roman"/>
          <w:b w:val="0"/>
          <w:bCs w:val="0"/>
          <w:snapToGrid/>
          <w:color w:val="000000"/>
          <w:kern w:val="2"/>
          <w:sz w:val="32"/>
          <w:szCs w:val="32"/>
          <w:highlight w:val="none"/>
          <w:lang w:val="en-US" w:eastAsia="zh-CN"/>
        </w:rPr>
        <w:t>）规模的10%</w:t>
      </w:r>
      <w:r>
        <w:rPr>
          <w:rFonts w:hint="eastAsia" w:ascii="方正仿宋_GBK" w:hAnsi="Times New Roman" w:eastAsia="方正仿宋_GBK" w:cs="Times New Roman"/>
          <w:i w:val="0"/>
          <w:caps w:val="0"/>
          <w:snapToGrid/>
          <w:color w:val="000000"/>
          <w:spacing w:val="0"/>
          <w:kern w:val="2"/>
          <w:sz w:val="32"/>
          <w:szCs w:val="32"/>
          <w:shd w:val="clear" w:fill="auto"/>
          <w:lang w:val="en-US" w:eastAsia="zh-CN" w:bidi="ar"/>
        </w:rPr>
        <w:t>，</w:t>
      </w:r>
      <w:r>
        <w:rPr>
          <w:rFonts w:hint="eastAsia" w:ascii="方正仿宋_GBK" w:hAnsi="Times New Roman" w:eastAsia="方正仿宋_GBK" w:cs="Times New Roman"/>
          <w:i w:val="0"/>
          <w:caps w:val="0"/>
          <w:snapToGrid/>
          <w:color w:val="000000"/>
          <w:spacing w:val="0"/>
          <w:kern w:val="2"/>
          <w:sz w:val="32"/>
          <w:szCs w:val="32"/>
          <w:highlight w:val="none"/>
          <w:shd w:val="clear"/>
          <w:lang w:val="en-US" w:eastAsia="zh-CN" w:bidi="ar"/>
        </w:rPr>
        <w:t>单个地块图斑</w:t>
      </w:r>
      <w:r>
        <w:rPr>
          <w:rFonts w:hint="eastAsia" w:ascii="方正仿宋_GBK" w:hAnsi="Times New Roman" w:eastAsia="方正仿宋_GBK" w:cs="Times New Roman"/>
          <w:i w:val="0"/>
          <w:caps w:val="0"/>
          <w:snapToGrid/>
          <w:color w:val="000000"/>
          <w:spacing w:val="0"/>
          <w:kern w:val="2"/>
          <w:sz w:val="32"/>
          <w:szCs w:val="32"/>
          <w:highlight w:val="none"/>
          <w:shd w:val="clear" w:fill="auto"/>
          <w:lang w:val="en-US" w:eastAsia="zh-CN" w:bidi="ar"/>
        </w:rPr>
        <w:t>围合面积原则上不得超过5公顷</w:t>
      </w:r>
      <w:r>
        <w:rPr>
          <w:rFonts w:hint="eastAsia" w:ascii="方正仿宋_GBK" w:hAnsi="Times New Roman" w:eastAsia="方正仿宋_GBK" w:cs="Times New Roman"/>
          <w:i w:val="0"/>
          <w:caps w:val="0"/>
          <w:snapToGrid/>
          <w:color w:val="000000"/>
          <w:spacing w:val="0"/>
          <w:kern w:val="2"/>
          <w:sz w:val="32"/>
          <w:szCs w:val="32"/>
          <w:shd w:val="clear" w:fill="auto"/>
          <w:lang w:val="en-US" w:eastAsia="zh-CN" w:bidi="ar"/>
        </w:rPr>
        <w:t>。</w:t>
      </w:r>
    </w:p>
    <w:p>
      <w:pPr>
        <w:numPr>
          <w:ilvl w:val="0"/>
          <w:numId w:val="0"/>
        </w:numPr>
        <w:kinsoku/>
        <w:autoSpaceDE/>
        <w:autoSpaceDN/>
        <w:adjustRightInd/>
        <w:snapToGrid/>
        <w:spacing w:line="600" w:lineRule="exact"/>
        <w:ind w:firstLine="620" w:firstLineChars="200"/>
        <w:textAlignment w:val="auto"/>
        <w:rPr>
          <w:rFonts w:hint="default" w:ascii="仿宋_GB2312" w:hAnsi="Microsoft YaHei" w:eastAsia="仿宋_GB2312" w:cs="仿宋_GB2312"/>
          <w:i w:val="0"/>
          <w:caps w:val="0"/>
          <w:color w:val="000000" w:themeColor="text1"/>
          <w:spacing w:val="0"/>
          <w:sz w:val="31"/>
          <w:szCs w:val="31"/>
          <w:shd w:val="clear" w:fill="FFFFFF"/>
          <w14:textFill>
            <w14:solidFill>
              <w14:schemeClr w14:val="tx1"/>
            </w14:solidFill>
          </w14:textFill>
        </w:rPr>
      </w:pPr>
      <w:r>
        <w:rPr>
          <w:rFonts w:hint="eastAsia" w:ascii="黑体" w:hAnsi="黑体" w:eastAsia="黑体" w:cs="黑体"/>
          <w:i w:val="0"/>
          <w:caps w:val="0"/>
          <w:snapToGrid w:val="0"/>
          <w:color w:val="000000"/>
          <w:spacing w:val="0"/>
          <w:kern w:val="0"/>
          <w:sz w:val="31"/>
          <w:szCs w:val="31"/>
          <w:shd w:val="clear"/>
          <w:lang w:val="en-US" w:eastAsia="zh-CN" w:bidi="ar"/>
        </w:rPr>
        <w:t>三、加强规划管理。</w:t>
      </w:r>
      <w:r>
        <w:rPr>
          <w:rFonts w:hint="default" w:ascii="仿宋_GB2312" w:hAnsi="Microsoft YaHei" w:eastAsia="仿宋_GB2312" w:cs="仿宋_GB2312"/>
          <w:i w:val="0"/>
          <w:caps w:val="0"/>
          <w:color w:val="000000" w:themeColor="text1"/>
          <w:spacing w:val="0"/>
          <w:sz w:val="31"/>
          <w:szCs w:val="31"/>
          <w:shd w:val="clear" w:fill="FFFFFF"/>
          <w14:textFill>
            <w14:solidFill>
              <w14:schemeClr w14:val="tx1"/>
            </w14:solidFill>
          </w14:textFill>
        </w:rPr>
        <w:t>各地结合城镇开发边界外零星城镇建设用地布局工作，</w:t>
      </w:r>
      <w:r>
        <w:rPr>
          <w:rFonts w:hint="eastAsia" w:ascii="仿宋_GB2312" w:hAnsi="Microsoft YaHei" w:eastAsia="仿宋_GB2312" w:cs="仿宋_GB2312"/>
          <w:i w:val="0"/>
          <w:caps w:val="0"/>
          <w:color w:val="000000" w:themeColor="text1"/>
          <w:spacing w:val="0"/>
          <w:sz w:val="31"/>
          <w:szCs w:val="31"/>
          <w:shd w:val="clear" w:fill="FFFFFF"/>
          <w:lang w:eastAsia="zh-CN"/>
          <w14:textFill>
            <w14:solidFill>
              <w14:schemeClr w14:val="tx1"/>
            </w14:solidFill>
          </w14:textFill>
        </w:rPr>
        <w:t>在选址阶段</w:t>
      </w:r>
      <w:r>
        <w:rPr>
          <w:rFonts w:hint="default" w:ascii="仿宋_GB2312" w:hAnsi="Microsoft YaHei" w:eastAsia="仿宋_GB2312" w:cs="仿宋_GB2312"/>
          <w:i w:val="0"/>
          <w:caps w:val="0"/>
          <w:color w:val="000000" w:themeColor="text1"/>
          <w:spacing w:val="0"/>
          <w:sz w:val="31"/>
          <w:szCs w:val="31"/>
          <w:shd w:val="clear" w:fill="FFFFFF"/>
          <w14:textFill>
            <w14:solidFill>
              <w14:schemeClr w14:val="tx1"/>
            </w14:solidFill>
          </w14:textFill>
        </w:rPr>
        <w:t>同步启动详细规划编制工作，按法定程序上报审批，切实提高工作效率和服务水平。</w:t>
      </w:r>
      <w:r>
        <w:rPr>
          <w:rFonts w:hint="eastAsia" w:ascii="仿宋_GB2312" w:hAnsi="Microsoft YaHei" w:eastAsia="仿宋_GB2312" w:cs="仿宋_GB2312"/>
          <w:i w:val="0"/>
          <w:caps w:val="0"/>
          <w:color w:val="000000" w:themeColor="text1"/>
          <w:spacing w:val="0"/>
          <w:sz w:val="31"/>
          <w:szCs w:val="31"/>
          <w:shd w:val="clear" w:fill="FFFFFF"/>
          <w:lang w:eastAsia="zh-CN"/>
          <w14:textFill>
            <w14:solidFill>
              <w14:schemeClr w14:val="tx1"/>
            </w14:solidFill>
          </w14:textFill>
        </w:rPr>
        <w:t>经依法批准的详细规划可替代</w:t>
      </w:r>
      <w:r>
        <w:rPr>
          <w:rFonts w:hint="default" w:ascii="仿宋_GB2312" w:hAnsi="Microsoft YaHei" w:eastAsia="仿宋_GB2312" w:cs="仿宋_GB2312"/>
          <w:color w:val="000000"/>
          <w:sz w:val="31"/>
          <w:szCs w:val="31"/>
          <w:shd w:val="clear" w:fill="FFFFFF"/>
          <w:lang w:eastAsia="zh-CN"/>
        </w:rPr>
        <w:t>项目选址合理性论证</w:t>
      </w:r>
      <w:r>
        <w:rPr>
          <w:rFonts w:hint="default" w:ascii="仿宋_GB2312" w:hAnsi="Microsoft YaHei" w:eastAsia="仿宋_GB2312" w:cs="仿宋_GB2312"/>
          <w:i w:val="0"/>
          <w:caps w:val="0"/>
          <w:color w:val="000000" w:themeColor="text1"/>
          <w:spacing w:val="0"/>
          <w:sz w:val="31"/>
          <w:szCs w:val="31"/>
          <w:shd w:val="clear" w:fill="FFFFFF"/>
          <w14:textFill>
            <w14:solidFill>
              <w14:schemeClr w14:val="tx1"/>
            </w14:solidFill>
          </w14:textFill>
        </w:rPr>
        <w:t>成果</w:t>
      </w:r>
      <w:r>
        <w:rPr>
          <w:rFonts w:hint="eastAsia" w:ascii="仿宋_GB2312" w:hAnsi="Microsoft YaHei" w:eastAsia="仿宋_GB2312" w:cs="仿宋_GB2312"/>
          <w:i w:val="0"/>
          <w:caps w:val="0"/>
          <w:color w:val="000000" w:themeColor="text1"/>
          <w:spacing w:val="0"/>
          <w:sz w:val="31"/>
          <w:szCs w:val="31"/>
          <w:shd w:val="clear" w:fill="FFFFFF"/>
          <w:lang w:eastAsia="zh-CN"/>
          <w14:textFill>
            <w14:solidFill>
              <w14:schemeClr w14:val="tx1"/>
            </w14:solidFill>
          </w14:textFill>
        </w:rPr>
        <w:t>作为建设用地审批依据，但</w:t>
      </w:r>
      <w:r>
        <w:rPr>
          <w:rFonts w:hint="default" w:ascii="仿宋_GB2312" w:hAnsi="Microsoft YaHei" w:eastAsia="仿宋_GB2312" w:cs="仿宋_GB2312"/>
          <w:color w:val="000000"/>
          <w:sz w:val="31"/>
          <w:szCs w:val="31"/>
          <w:shd w:val="clear" w:fill="FFFFFF"/>
          <w:lang w:eastAsia="zh-CN"/>
        </w:rPr>
        <w:t>项目选址合理性论证</w:t>
      </w:r>
      <w:r>
        <w:rPr>
          <w:rFonts w:hint="default" w:ascii="仿宋_GB2312" w:hAnsi="Microsoft YaHei" w:eastAsia="仿宋_GB2312" w:cs="仿宋_GB2312"/>
          <w:i w:val="0"/>
          <w:caps w:val="0"/>
          <w:color w:val="000000" w:themeColor="text1"/>
          <w:spacing w:val="0"/>
          <w:sz w:val="31"/>
          <w:szCs w:val="31"/>
          <w:shd w:val="clear" w:fill="FFFFFF"/>
          <w14:textFill>
            <w14:solidFill>
              <w14:schemeClr w14:val="tx1"/>
            </w14:solidFill>
          </w14:textFill>
        </w:rPr>
        <w:t>成果不得替代详细规划，不能作为核提规划条件、核发规划许可的依据。</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firstLine="620" w:firstLineChars="200"/>
        <w:jc w:val="both"/>
        <w:textAlignment w:val="auto"/>
        <w:rPr>
          <w:rFonts w:hint="eastAsia" w:ascii="黑体" w:hAnsi="黑体" w:eastAsia="黑体" w:cs="黑体"/>
          <w:color w:val="000000"/>
          <w:sz w:val="31"/>
          <w:szCs w:val="31"/>
          <w:lang w:eastAsia="zh-CN"/>
        </w:rPr>
      </w:pPr>
      <w:r>
        <w:rPr>
          <w:rFonts w:hint="eastAsia" w:ascii="黑体" w:hAnsi="黑体" w:eastAsia="黑体" w:cs="黑体"/>
          <w:color w:val="000000"/>
          <w:sz w:val="31"/>
          <w:szCs w:val="31"/>
          <w:lang w:eastAsia="zh-CN"/>
        </w:rPr>
        <w:t>四、</w:t>
      </w:r>
      <w:r>
        <w:rPr>
          <w:rFonts w:hint="eastAsia" w:ascii="黑体" w:hAnsi="黑体" w:eastAsia="黑体" w:cs="黑体"/>
          <w:color w:val="000000"/>
          <w:sz w:val="31"/>
          <w:szCs w:val="31"/>
        </w:rPr>
        <w:t>规范</w:t>
      </w:r>
      <w:r>
        <w:rPr>
          <w:rFonts w:hint="eastAsia" w:ascii="黑体" w:hAnsi="黑体" w:eastAsia="黑体" w:cs="黑体"/>
          <w:color w:val="000000"/>
          <w:sz w:val="31"/>
          <w:szCs w:val="31"/>
          <w:lang w:eastAsia="zh-CN"/>
        </w:rPr>
        <w:t>论证审查</w:t>
      </w:r>
      <w:r>
        <w:rPr>
          <w:rFonts w:hint="eastAsia" w:ascii="黑体" w:hAnsi="黑体" w:eastAsia="黑体" w:cs="黑体"/>
          <w:snapToGrid/>
          <w:color w:val="auto"/>
          <w:kern w:val="2"/>
          <w:sz w:val="32"/>
          <w:szCs w:val="32"/>
          <w:lang w:eastAsia="zh-CN"/>
        </w:rPr>
        <w:t>。</w:t>
      </w:r>
      <w:r>
        <w:rPr>
          <w:rFonts w:hint="eastAsia" w:ascii="方正仿宋_GBK" w:hAnsi="Times New Roman" w:eastAsia="方正仿宋_GBK" w:cs="Times New Roman"/>
          <w:snapToGrid/>
          <w:color w:val="000000"/>
          <w:kern w:val="2"/>
          <w:sz w:val="32"/>
          <w:szCs w:val="32"/>
          <w:lang w:eastAsia="zh-CN" w:bidi="ar"/>
        </w:rPr>
        <w:t>市县人民政府组织行业主管部门、自然资源部门及相关领域专家等开展城镇开发边界外零星城镇建设用地合理性论证。市县自然资源部门</w:t>
      </w:r>
      <w:r>
        <w:rPr>
          <w:rFonts w:hint="eastAsia" w:ascii="方正仿宋_GBK" w:hAnsi="Times New Roman" w:eastAsia="方正仿宋_GBK" w:cs="Times New Roman"/>
          <w:i w:val="0"/>
          <w:caps w:val="0"/>
          <w:snapToGrid/>
          <w:color w:val="000000" w:themeColor="text1"/>
          <w:spacing w:val="0"/>
          <w:kern w:val="2"/>
          <w:sz w:val="32"/>
          <w:szCs w:val="32"/>
          <w:highlight w:val="none"/>
          <w:shd w:val="clear" w:fill="auto"/>
          <w:lang w:bidi="ar"/>
          <w14:textFill>
            <w14:solidFill>
              <w14:schemeClr w14:val="tx1"/>
            </w14:solidFill>
          </w14:textFill>
        </w:rPr>
        <w:t>对照国家相关法律法规和技术标准</w:t>
      </w:r>
      <w:r>
        <w:rPr>
          <w:rFonts w:hint="eastAsia" w:ascii="方正仿宋_GBK" w:hAnsi="Times New Roman" w:eastAsia="方正仿宋_GBK" w:cs="Times New Roman"/>
          <w:i w:val="0"/>
          <w:caps w:val="0"/>
          <w:snapToGrid/>
          <w:color w:val="000000" w:themeColor="text1"/>
          <w:spacing w:val="0"/>
          <w:kern w:val="2"/>
          <w:sz w:val="32"/>
          <w:szCs w:val="32"/>
          <w:highlight w:val="none"/>
          <w:shd w:val="clear" w:fill="auto"/>
          <w:lang w:eastAsia="zh-CN" w:bidi="ar"/>
          <w14:textFill>
            <w14:solidFill>
              <w14:schemeClr w14:val="tx1"/>
            </w14:solidFill>
          </w14:textFill>
        </w:rPr>
        <w:t>，</w:t>
      </w:r>
      <w:r>
        <w:rPr>
          <w:rFonts w:hint="eastAsia" w:ascii="方正仿宋_GBK" w:hAnsi="Times New Roman" w:eastAsia="方正仿宋_GBK" w:cs="Times New Roman"/>
          <w:i w:val="0"/>
          <w:caps w:val="0"/>
          <w:snapToGrid/>
          <w:color w:val="000000" w:themeColor="text1"/>
          <w:spacing w:val="0"/>
          <w:kern w:val="2"/>
          <w:sz w:val="32"/>
          <w:szCs w:val="32"/>
          <w:highlight w:val="none"/>
          <w:shd w:val="clear" w:fill="auto"/>
          <w:lang w:bidi="ar"/>
          <w14:textFill>
            <w14:solidFill>
              <w14:schemeClr w14:val="tx1"/>
            </w14:solidFill>
          </w14:textFill>
        </w:rPr>
        <w:t>重点围绕项目规划布局、特定选址要求、建设时序等，</w:t>
      </w:r>
      <w:r>
        <w:rPr>
          <w:rFonts w:hint="eastAsia" w:ascii="方正仿宋_GBK" w:hAnsi="Times New Roman" w:eastAsia="方正仿宋_GBK" w:cs="Times New Roman"/>
          <w:i w:val="0"/>
          <w:caps w:val="0"/>
          <w:snapToGrid/>
          <w:color w:val="000000" w:themeColor="text1"/>
          <w:spacing w:val="0"/>
          <w:kern w:val="2"/>
          <w:sz w:val="32"/>
          <w:szCs w:val="32"/>
          <w:shd w:val="clear" w:fill="auto"/>
          <w:lang w:bidi="ar"/>
          <w14:textFill>
            <w14:solidFill>
              <w14:schemeClr w14:val="tx1"/>
            </w14:solidFill>
          </w14:textFill>
        </w:rPr>
        <w:t>对辖区内</w:t>
      </w:r>
      <w:r>
        <w:rPr>
          <w:rFonts w:hint="eastAsia" w:ascii="方正仿宋_GBK" w:hAnsi="Times New Roman" w:eastAsia="方正仿宋_GBK" w:cs="Times New Roman"/>
          <w:snapToGrid/>
          <w:color w:val="000000"/>
          <w:kern w:val="2"/>
          <w:sz w:val="32"/>
          <w:szCs w:val="32"/>
          <w:lang w:eastAsia="zh-CN" w:bidi="ar"/>
        </w:rPr>
        <w:t>项目选址合理性论证</w:t>
      </w:r>
      <w:r>
        <w:rPr>
          <w:rFonts w:hint="eastAsia" w:ascii="方正仿宋_GBK" w:hAnsi="Times New Roman" w:eastAsia="方正仿宋_GBK" w:cs="Times New Roman"/>
          <w:i w:val="0"/>
          <w:caps w:val="0"/>
          <w:snapToGrid/>
          <w:color w:val="000000" w:themeColor="text1"/>
          <w:spacing w:val="0"/>
          <w:kern w:val="2"/>
          <w:sz w:val="32"/>
          <w:szCs w:val="32"/>
          <w:shd w:val="clear" w:fill="auto"/>
          <w:lang w:bidi="ar"/>
          <w14:textFill>
            <w14:solidFill>
              <w14:schemeClr w14:val="tx1"/>
            </w14:solidFill>
          </w14:textFill>
        </w:rPr>
        <w:t>成果进行实质性审查</w:t>
      </w:r>
      <w:r>
        <w:rPr>
          <w:rFonts w:hint="eastAsia" w:ascii="方正仿宋_GBK" w:hAnsi="Times New Roman" w:eastAsia="方正仿宋_GBK" w:cs="Times New Roman"/>
          <w:i w:val="0"/>
          <w:caps w:val="0"/>
          <w:snapToGrid/>
          <w:color w:val="000000" w:themeColor="text1"/>
          <w:spacing w:val="0"/>
          <w:kern w:val="2"/>
          <w:sz w:val="32"/>
          <w:szCs w:val="32"/>
          <w:highlight w:val="none"/>
          <w:shd w:val="clear" w:fill="auto"/>
          <w:lang w:bidi="ar"/>
          <w14:textFill>
            <w14:solidFill>
              <w14:schemeClr w14:val="tx1"/>
            </w14:solidFill>
          </w14:textFill>
        </w:rPr>
        <w:t>，并对其合规性、合理性和真实性负责</w:t>
      </w:r>
      <w:r>
        <w:rPr>
          <w:rFonts w:hint="eastAsia" w:ascii="方正仿宋_GBK" w:hAnsi="Times New Roman" w:eastAsia="方正仿宋_GBK" w:cs="Times New Roman"/>
          <w:i w:val="0"/>
          <w:caps w:val="0"/>
          <w:snapToGrid/>
          <w:color w:val="000000" w:themeColor="text1"/>
          <w:spacing w:val="0"/>
          <w:kern w:val="2"/>
          <w:sz w:val="32"/>
          <w:szCs w:val="32"/>
          <w:shd w:val="clear" w:fill="auto"/>
          <w:lang w:eastAsia="zh-CN" w:bidi="ar"/>
          <w14:textFill>
            <w14:solidFill>
              <w14:schemeClr w14:val="tx1"/>
            </w14:solidFill>
          </w14:textFill>
        </w:rPr>
        <w:t>。自治区自然资源厅将</w:t>
      </w:r>
      <w:r>
        <w:rPr>
          <w:rFonts w:hint="eastAsia" w:ascii="方正仿宋_GBK" w:hAnsi="Times New Roman" w:eastAsia="方正仿宋_GBK" w:cs="Times New Roman"/>
          <w:b w:val="0"/>
          <w:bCs w:val="0"/>
          <w:snapToGrid/>
          <w:color w:val="000000"/>
          <w:kern w:val="2"/>
          <w:sz w:val="32"/>
          <w:szCs w:val="32"/>
          <w:lang w:val="en-US" w:eastAsia="zh-CN" w:bidi="ar"/>
        </w:rPr>
        <w:t>在用地审批合规性审查环节，重点就项目用地符合用途管制规则情况开展审核。零星城镇建设用地项目选址合理性论证报告与市县人民政府出具的选址合理性说明，一并作为用地审批的组卷材料上报。</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right="0" w:firstLine="620" w:firstLineChars="0"/>
        <w:jc w:val="left"/>
        <w:textAlignment w:val="auto"/>
        <w:rPr>
          <w:rFonts w:hint="eastAsia"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pPr>
      <w:r>
        <w:rPr>
          <w:rFonts w:hint="eastAsia" w:ascii="黑体" w:hAnsi="黑体" w:eastAsia="黑体" w:cs="黑体"/>
          <w:b w:val="0"/>
          <w:bCs w:val="0"/>
          <w:color w:val="000000"/>
          <w:sz w:val="31"/>
          <w:szCs w:val="31"/>
          <w:lang w:val="en-US" w:eastAsia="zh-CN"/>
        </w:rPr>
        <w:t>五、做好台账管理。</w:t>
      </w:r>
      <w:r>
        <w:rPr>
          <w:rFonts w:hint="eastAsia" w:ascii="方正仿宋_GBK" w:hAnsi="方正仿宋_GBK" w:eastAsia="方正仿宋_GBK" w:cs="方正仿宋_GBK"/>
          <w:b w:val="0"/>
          <w:bCs w:val="0"/>
          <w:color w:val="000000"/>
          <w:sz w:val="31"/>
          <w:szCs w:val="31"/>
          <w:lang w:val="en-US" w:eastAsia="zh-CN"/>
        </w:rPr>
        <w:t>自2021年以来，以城镇批次形式报批的城镇开发边界外的城镇建设用地（不包括：村庄规划或“通则式”管理规定覆盖的、未纳入土地征收成片开发方案的乡村建设用地或农村一二三产融合发展用地）</w:t>
      </w:r>
      <w:r>
        <w:rPr>
          <w:rFonts w:hint="eastAsia" w:ascii="方正仿宋_GBK" w:hAnsi="方正仿宋_GBK" w:eastAsia="方正仿宋_GBK" w:cs="方正仿宋_GBK"/>
          <w:b w:val="0"/>
          <w:bCs w:val="0"/>
          <w:color w:val="000000"/>
          <w:sz w:val="31"/>
          <w:szCs w:val="31"/>
          <w:highlight w:val="none"/>
          <w:lang w:val="en-US" w:eastAsia="zh-CN"/>
        </w:rPr>
        <w:t>，均需纳入年度城镇开发边界新增城镇建设用地规模管理台账，</w:t>
      </w:r>
      <w:r>
        <w:rPr>
          <w:rFonts w:hint="eastAsia" w:ascii="方正仿宋_GBK" w:hAnsi="方正仿宋_GBK" w:eastAsia="方正仿宋_GBK" w:cs="方正仿宋_GBK"/>
          <w:b w:val="0"/>
          <w:bCs w:val="0"/>
          <w:color w:val="000000"/>
          <w:sz w:val="31"/>
          <w:szCs w:val="31"/>
          <w:lang w:val="en-US" w:eastAsia="zh-CN"/>
        </w:rPr>
        <w:t>在国土空间规划五年实施评估时等量缩减城镇开发边界内新增城镇建设用地规模，并</w:t>
      </w:r>
      <w:r>
        <w:rPr>
          <w:rFonts w:hint="eastAsia" w:ascii="方正仿宋_GBK" w:hAnsi="方正仿宋_GBK" w:eastAsia="方正仿宋_GBK" w:cs="方正仿宋_GBK"/>
          <w:i w:val="0"/>
          <w:iCs w:val="0"/>
          <w:caps w:val="0"/>
          <w:color w:val="000000"/>
          <w:spacing w:val="0"/>
          <w:kern w:val="0"/>
          <w:sz w:val="32"/>
          <w:szCs w:val="32"/>
          <w:highlight w:val="none"/>
          <w:shd w:val="clear" w:color="auto" w:fill="FFFFFF"/>
          <w:lang w:val="en-US" w:eastAsia="zh-CN" w:bidi="ar"/>
        </w:rPr>
        <w:t>纳入国土空间规划“一张图”实施监督系统实施动态监管。</w:t>
      </w:r>
    </w:p>
    <w:p>
      <w:pPr>
        <w:keepNext w:val="0"/>
        <w:spacing w:line="600" w:lineRule="exact"/>
        <w:ind w:firstLine="620" w:firstLineChars="200"/>
        <w:rPr>
          <w:rFonts w:hint="eastAsia" w:ascii="方正仿宋_GBK" w:hAnsi="方正仿宋_GBK" w:eastAsia="方正仿宋_GBK" w:cs="方正仿宋_GBK"/>
          <w:sz w:val="31"/>
          <w:szCs w:val="31"/>
          <w:highlight w:val="yellow"/>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textAlignment w:val="baseline"/>
        <w:rPr>
          <w:rFonts w:hint="default" w:ascii="方正仿宋_GBK" w:hAnsi="方正仿宋_GBK" w:eastAsia="方正仿宋_GBK" w:cs="方正仿宋_GBK"/>
          <w:b w:val="0"/>
          <w:bCs w:val="0"/>
          <w:spacing w:val="0"/>
          <w:sz w:val="31"/>
          <w:szCs w:val="31"/>
          <w:lang w:eastAsia="zh-CN"/>
        </w:rPr>
      </w:pPr>
      <w:r>
        <w:rPr>
          <w:rFonts w:hint="eastAsia" w:ascii="方正仿宋_GBK" w:hAnsi="Times New Roman" w:eastAsia="方正仿宋_GBK" w:cs="Times New Roman"/>
          <w:snapToGrid/>
          <w:color w:val="auto"/>
          <w:kern w:val="2"/>
          <w:sz w:val="32"/>
          <w:szCs w:val="32"/>
          <w:lang w:eastAsia="zh-CN"/>
        </w:rPr>
        <w:t>附件：</w:t>
      </w:r>
      <w:r>
        <w:rPr>
          <w:rFonts w:hint="default" w:ascii="方正仿宋_GBK" w:hAnsi="方正仿宋_GBK" w:eastAsia="方正仿宋_GBK" w:cs="方正仿宋_GBK"/>
          <w:b w:val="0"/>
          <w:bCs w:val="0"/>
          <w:spacing w:val="0"/>
          <w:sz w:val="31"/>
          <w:szCs w:val="31"/>
          <w:lang w:eastAsia="zh-CN"/>
        </w:rPr>
        <w:t>宁夏回族自治区城镇开发边界外零星城镇建设用地准</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550" w:firstLineChars="500"/>
        <w:textAlignment w:val="baseline"/>
        <w:rPr>
          <w:rFonts w:hint="default" w:ascii="方正仿宋_GBK" w:hAnsi="方正仿宋_GBK" w:eastAsia="方正仿宋_GBK" w:cs="方正仿宋_GBK"/>
          <w:b w:val="0"/>
          <w:bCs w:val="0"/>
          <w:spacing w:val="0"/>
          <w:sz w:val="31"/>
          <w:szCs w:val="31"/>
          <w:lang w:eastAsia="zh-CN"/>
        </w:rPr>
      </w:pPr>
      <w:r>
        <w:rPr>
          <w:rFonts w:hint="default" w:ascii="方正仿宋_GBK" w:hAnsi="方正仿宋_GBK" w:eastAsia="方正仿宋_GBK" w:cs="方正仿宋_GBK"/>
          <w:b w:val="0"/>
          <w:bCs w:val="0"/>
          <w:spacing w:val="0"/>
          <w:sz w:val="31"/>
          <w:szCs w:val="31"/>
          <w:lang w:eastAsia="zh-CN"/>
        </w:rPr>
        <w:t>入清单</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860" w:firstLineChars="600"/>
        <w:textAlignment w:val="baseline"/>
        <w:rPr>
          <w:rFonts w:hint="default" w:ascii="方正仿宋_GBK" w:hAnsi="方正仿宋_GBK" w:eastAsia="方正仿宋_GBK" w:cs="方正仿宋_GBK"/>
          <w:b w:val="0"/>
          <w:bCs w:val="0"/>
          <w:spacing w:val="0"/>
          <w:sz w:val="31"/>
          <w:szCs w:val="31"/>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260" w:firstLineChars="60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1260" w:firstLineChars="600"/>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right="957" w:firstLine="3840" w:firstLineChars="1200"/>
        <w:textAlignment w:val="baseline"/>
        <w:rPr>
          <w:rFonts w:ascii="方正仿宋_GBK" w:hAnsi="Times New Roman" w:eastAsia="方正仿宋_GBK" w:cs="Times New Roman"/>
          <w:snapToGrid/>
          <w:color w:val="auto"/>
          <w:kern w:val="2"/>
          <w:sz w:val="32"/>
          <w:szCs w:val="32"/>
        </w:rPr>
      </w:pPr>
      <w:r>
        <w:rPr>
          <w:rFonts w:ascii="方正仿宋_GBK" w:hAnsi="Times New Roman" w:eastAsia="方正仿宋_GBK" w:cs="Times New Roman"/>
          <w:snapToGrid/>
          <w:color w:val="auto"/>
          <w:kern w:val="2"/>
          <w:sz w:val="32"/>
          <w:szCs w:val="32"/>
        </w:rPr>
        <w:t>宁夏回族自治区自然资源厅</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right="957" w:firstLine="4800" w:firstLineChars="1500"/>
        <w:textAlignment w:val="baseline"/>
        <w:rPr>
          <w:rFonts w:ascii="方正仿宋_GBK" w:hAnsi="Times New Roman" w:eastAsia="方正仿宋_GBK" w:cs="Times New Roman"/>
          <w:snapToGrid/>
          <w:color w:val="auto"/>
          <w:kern w:val="2"/>
          <w:sz w:val="32"/>
          <w:szCs w:val="32"/>
        </w:rPr>
      </w:pPr>
      <w:r>
        <w:rPr>
          <w:rFonts w:ascii="方正仿宋_GBK" w:hAnsi="Times New Roman" w:eastAsia="方正仿宋_GBK" w:cs="Times New Roman"/>
          <w:snapToGrid/>
          <w:color w:val="auto"/>
          <w:kern w:val="2"/>
          <w:sz w:val="32"/>
          <w:szCs w:val="32"/>
        </w:rPr>
        <w:t>202</w:t>
      </w:r>
      <w:r>
        <w:rPr>
          <w:rFonts w:hint="eastAsia" w:ascii="方正仿宋_GBK" w:hAnsi="Times New Roman" w:eastAsia="方正仿宋_GBK" w:cs="Times New Roman"/>
          <w:snapToGrid/>
          <w:color w:val="auto"/>
          <w:kern w:val="2"/>
          <w:sz w:val="32"/>
          <w:szCs w:val="32"/>
          <w:lang w:val="en-US" w:eastAsia="zh-CN"/>
        </w:rPr>
        <w:t>5</w:t>
      </w:r>
      <w:r>
        <w:rPr>
          <w:rFonts w:ascii="方正仿宋_GBK" w:hAnsi="Times New Roman" w:eastAsia="方正仿宋_GBK" w:cs="Times New Roman"/>
          <w:snapToGrid/>
          <w:color w:val="auto"/>
          <w:kern w:val="2"/>
          <w:sz w:val="32"/>
          <w:szCs w:val="32"/>
        </w:rPr>
        <w:t>年3月</w:t>
      </w:r>
      <w:r>
        <w:rPr>
          <w:rFonts w:hint="eastAsia" w:ascii="方正仿宋_GBK" w:hAnsi="Times New Roman" w:eastAsia="方正仿宋_GBK" w:cs="Times New Roman"/>
          <w:snapToGrid/>
          <w:color w:val="auto"/>
          <w:kern w:val="2"/>
          <w:sz w:val="32"/>
          <w:szCs w:val="32"/>
          <w:lang w:val="en-US" w:eastAsia="zh-CN"/>
        </w:rPr>
        <w:t xml:space="preserve">  </w:t>
      </w:r>
      <w:r>
        <w:rPr>
          <w:rFonts w:ascii="方正仿宋_GBK" w:hAnsi="Times New Roman" w:eastAsia="方正仿宋_GBK" w:cs="Times New Roman"/>
          <w:snapToGrid/>
          <w:color w:val="auto"/>
          <w:kern w:val="2"/>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0" w:line="600" w:lineRule="exact"/>
        <w:ind w:left="199" w:firstLine="640" w:firstLineChars="200"/>
        <w:textAlignment w:val="baseline"/>
        <w:rPr>
          <w:rFonts w:ascii="方正仿宋_GBK" w:hAnsi="Times New Roman" w:eastAsia="方正仿宋_GBK" w:cs="Times New Roman"/>
          <w:snapToGrid/>
          <w:color w:val="auto"/>
          <w:kern w:val="2"/>
          <w:sz w:val="32"/>
          <w:szCs w:val="32"/>
        </w:rPr>
      </w:pPr>
      <w:r>
        <w:rPr>
          <w:rFonts w:hint="eastAsia" w:ascii="方正仿宋_GBK" w:hAnsi="Times New Roman" w:eastAsia="方正仿宋_GBK" w:cs="Times New Roman"/>
          <w:snapToGrid/>
          <w:color w:val="auto"/>
          <w:kern w:val="2"/>
          <w:sz w:val="32"/>
          <w:szCs w:val="32"/>
          <w:lang w:eastAsia="zh-CN"/>
        </w:rPr>
        <w:t>（</w:t>
      </w:r>
      <w:r>
        <w:rPr>
          <w:rFonts w:ascii="方正仿宋_GBK" w:hAnsi="Times New Roman" w:eastAsia="方正仿宋_GBK" w:cs="Times New Roman"/>
          <w:snapToGrid/>
          <w:color w:val="auto"/>
          <w:kern w:val="2"/>
          <w:sz w:val="32"/>
          <w:szCs w:val="32"/>
        </w:rPr>
        <w:t>此件</w:t>
      </w:r>
      <w:r>
        <w:rPr>
          <w:rFonts w:hint="eastAsia" w:ascii="方正仿宋_GBK" w:hAnsi="Times New Roman" w:eastAsia="方正仿宋_GBK" w:cs="Times New Roman"/>
          <w:snapToGrid/>
          <w:color w:val="auto"/>
          <w:kern w:val="2"/>
          <w:sz w:val="32"/>
          <w:szCs w:val="32"/>
          <w:lang w:eastAsia="zh-CN"/>
        </w:rPr>
        <w:t>不公开）</w:t>
      </w:r>
    </w:p>
    <w:p>
      <w:pPr>
        <w:spacing w:line="600" w:lineRule="exact"/>
        <w:rPr>
          <w:rFonts w:ascii="方正仿宋_GBK" w:hAnsi="Times New Roman" w:eastAsia="方正仿宋_GBK" w:cs="Times New Roman"/>
          <w:snapToGrid/>
          <w:color w:val="auto"/>
          <w:kern w:val="2"/>
          <w:sz w:val="32"/>
          <w:szCs w:val="32"/>
        </w:rPr>
      </w:pPr>
      <w:r>
        <w:rPr>
          <w:rFonts w:ascii="方正仿宋_GBK" w:hAnsi="Times New Roman" w:eastAsia="方正仿宋_GBK" w:cs="Times New Roman"/>
          <w:snapToGrid/>
          <w:color w:val="auto"/>
          <w:kern w:val="2"/>
          <w:sz w:val="32"/>
          <w:szCs w:val="32"/>
        </w:rPr>
        <w:br w:type="page"/>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_GBK" w:hAnsi="宋体" w:eastAsia="方正小标宋_GBK" w:cs="宋体"/>
          <w:b w:val="0"/>
          <w:bCs w:val="0"/>
          <w:spacing w:val="-9"/>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0"/>
        <w:jc w:val="center"/>
        <w:textAlignment w:val="baseline"/>
        <w:rPr>
          <w:rFonts w:hint="eastAsia" w:ascii="方正小标宋_GBK" w:hAnsi="宋体" w:eastAsia="方正小标宋_GBK" w:cs="宋体"/>
          <w:b w:val="0"/>
          <w:bCs w:val="0"/>
          <w:spacing w:val="-9"/>
          <w:sz w:val="44"/>
          <w:szCs w:val="44"/>
          <w:lang w:eastAsia="zh-CN"/>
        </w:rPr>
      </w:pPr>
      <w:r>
        <w:rPr>
          <w:rFonts w:hint="eastAsia" w:ascii="方正小标宋_GBK" w:hAnsi="宋体" w:eastAsia="方正小标宋_GBK" w:cs="宋体"/>
          <w:b w:val="0"/>
          <w:bCs w:val="0"/>
          <w:spacing w:val="-9"/>
          <w:sz w:val="44"/>
          <w:szCs w:val="44"/>
          <w:lang w:eastAsia="zh-CN"/>
        </w:rPr>
        <w:t>宁夏回族自治区城镇开发边界外</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仿宋_GBK" w:hAnsi="方正仿宋_GBK" w:eastAsia="方正仿宋_GBK" w:cs="方正仿宋_GBK"/>
          <w:color w:val="000000"/>
          <w:sz w:val="32"/>
          <w:szCs w:val="32"/>
          <w:highlight w:val="none"/>
          <w:lang w:eastAsia="zh-CN"/>
        </w:rPr>
      </w:pPr>
      <w:r>
        <w:rPr>
          <w:rFonts w:hint="eastAsia" w:ascii="方正小标宋_GBK" w:hAnsi="宋体" w:eastAsia="方正小标宋_GBK" w:cs="宋体"/>
          <w:b w:val="0"/>
          <w:bCs w:val="0"/>
          <w:spacing w:val="-9"/>
          <w:sz w:val="44"/>
          <w:szCs w:val="44"/>
          <w:lang w:eastAsia="zh-CN"/>
        </w:rPr>
        <w:t>零星城镇建设用地准入清单</w:t>
      </w:r>
    </w:p>
    <w:p>
      <w:pPr>
        <w:keepNext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i w:val="0"/>
          <w:caps w:val="0"/>
          <w:snapToGrid w:val="0"/>
          <w:color w:val="000000"/>
          <w:spacing w:val="0"/>
          <w:kern w:val="0"/>
          <w:sz w:val="32"/>
          <w:szCs w:val="32"/>
          <w:highlight w:val="none"/>
          <w:shd w:val="clear" w:fill="FFFFFF"/>
          <w:lang w:val="en-US" w:eastAsia="zh-CN" w:bidi="ar"/>
        </w:rPr>
      </w:pPr>
    </w:p>
    <w:p>
      <w:pPr>
        <w:keepNext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sz w:val="32"/>
          <w:szCs w:val="32"/>
          <w:highlight w:val="none"/>
          <w:lang w:eastAsia="zh-CN"/>
        </w:rPr>
        <w:t>一、服务于区域一体化发展的交通运输用地，包括</w:t>
      </w:r>
      <w:r>
        <w:rPr>
          <w:rFonts w:hint="eastAsia" w:ascii="方正仿宋_GBK" w:hAnsi="方正仿宋_GBK" w:eastAsia="方正仿宋_GBK" w:cs="方正仿宋_GBK"/>
          <w:color w:val="000000"/>
          <w:spacing w:val="0"/>
          <w:sz w:val="32"/>
          <w:szCs w:val="32"/>
          <w:shd w:val="clear" w:color="auto" w:fill="FFFFFF"/>
        </w:rPr>
        <w:t>中心城区、集镇</w:t>
      </w:r>
      <w:r>
        <w:rPr>
          <w:rFonts w:hint="eastAsia" w:ascii="方正仿宋_GBK" w:hAnsi="方正仿宋_GBK" w:eastAsia="方正仿宋_GBK" w:cs="方正仿宋_GBK"/>
          <w:color w:val="000000"/>
          <w:spacing w:val="0"/>
          <w:sz w:val="32"/>
          <w:szCs w:val="32"/>
          <w:shd w:val="clear" w:color="auto" w:fill="FFFFFF"/>
          <w:lang w:eastAsia="zh-CN"/>
        </w:rPr>
        <w:t>（</w:t>
      </w:r>
      <w:r>
        <w:rPr>
          <w:rFonts w:hint="eastAsia" w:ascii="方正仿宋_GBK" w:hAnsi="方正仿宋_GBK" w:eastAsia="方正仿宋_GBK" w:cs="方正仿宋_GBK"/>
          <w:color w:val="000000"/>
          <w:spacing w:val="0"/>
          <w:sz w:val="32"/>
          <w:szCs w:val="32"/>
          <w:shd w:val="clear" w:color="auto" w:fill="FFFFFF"/>
        </w:rPr>
        <w:t>镇区</w:t>
      </w:r>
      <w:r>
        <w:rPr>
          <w:rFonts w:hint="eastAsia" w:ascii="方正仿宋_GBK" w:hAnsi="方正仿宋_GBK" w:eastAsia="方正仿宋_GBK" w:cs="方正仿宋_GBK"/>
          <w:color w:val="000000"/>
          <w:spacing w:val="0"/>
          <w:sz w:val="32"/>
          <w:szCs w:val="32"/>
          <w:shd w:val="clear" w:color="auto" w:fill="FFFFFF"/>
          <w:lang w:eastAsia="zh-CN"/>
        </w:rPr>
        <w:t>）</w:t>
      </w:r>
      <w:r>
        <w:rPr>
          <w:rFonts w:hint="eastAsia" w:ascii="方正仿宋_GBK" w:hAnsi="方正仿宋_GBK" w:eastAsia="方正仿宋_GBK" w:cs="方正仿宋_GBK"/>
          <w:color w:val="000000"/>
          <w:spacing w:val="0"/>
          <w:sz w:val="32"/>
          <w:szCs w:val="32"/>
          <w:shd w:val="clear" w:color="auto" w:fill="FFFFFF"/>
        </w:rPr>
        <w:t>范围内，组团间连接性的城镇道路用地</w:t>
      </w:r>
      <w:r>
        <w:rPr>
          <w:rFonts w:hint="eastAsia" w:ascii="方正仿宋_GBK" w:hAnsi="方正仿宋_GBK" w:eastAsia="方正仿宋_GBK" w:cs="方正仿宋_GBK"/>
          <w:color w:val="000000"/>
          <w:spacing w:val="0"/>
          <w:sz w:val="32"/>
          <w:szCs w:val="32"/>
          <w:shd w:val="clear" w:color="auto" w:fill="FFFFFF"/>
          <w:lang w:eastAsia="zh-CN"/>
        </w:rPr>
        <w:t>；</w:t>
      </w:r>
      <w:r>
        <w:rPr>
          <w:rFonts w:hint="eastAsia" w:ascii="方正仿宋_GBK" w:hAnsi="方正仿宋_GBK" w:eastAsia="方正仿宋_GBK" w:cs="方正仿宋_GBK"/>
          <w:color w:val="000000"/>
          <w:sz w:val="32"/>
          <w:szCs w:val="32"/>
          <w:lang w:eastAsia="zh-CN"/>
        </w:rPr>
        <w:t>客货运、公共交通场站及附属设施，公共停车场等交通场站用地。</w:t>
      </w:r>
    </w:p>
    <w:p>
      <w:pPr>
        <w:keepNext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二、有特殊选址或邻避要求</w:t>
      </w:r>
      <w:r>
        <w:rPr>
          <w:rFonts w:hint="eastAsia" w:ascii="方正仿宋_GBK" w:hAnsi="方正仿宋_GBK" w:eastAsia="方正仿宋_GBK" w:cs="方正仿宋_GBK"/>
          <w:color w:val="000000"/>
          <w:sz w:val="32"/>
          <w:szCs w:val="32"/>
          <w:highlight w:val="none"/>
          <w:lang w:eastAsia="zh-CN"/>
        </w:rPr>
        <w:t>的</w:t>
      </w:r>
      <w:r>
        <w:rPr>
          <w:rFonts w:hint="eastAsia" w:ascii="方正仿宋_GBK" w:hAnsi="方正仿宋_GBK" w:eastAsia="方正仿宋_GBK" w:cs="方正仿宋_GBK"/>
          <w:color w:val="000000"/>
          <w:sz w:val="32"/>
          <w:szCs w:val="32"/>
          <w:lang w:eastAsia="zh-CN"/>
        </w:rPr>
        <w:t>公共管理与公共服务用地，包括气象站、水文监测站、生态环境监测站等科研用地；博物馆、纪念馆、展览馆等文化用地；教学训练基地、实习基地等教育用地；体育场馆、体育训练基地等体育用地；传染病医院、精神病医院、疫情防护设施、康复中心等医疗卫生用地；养老院、福利院、救助站等社会福利用地。</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方正仿宋_GBK" w:hAnsi="方正仿宋_GBK" w:eastAsia="方正仿宋_GBK" w:cs="方正仿宋_GBK"/>
          <w:color w:val="000000"/>
          <w:spacing w:val="0"/>
          <w:sz w:val="32"/>
          <w:szCs w:val="32"/>
          <w:lang w:eastAsia="zh-CN"/>
        </w:rPr>
      </w:pPr>
      <w:r>
        <w:rPr>
          <w:rFonts w:hint="eastAsia" w:ascii="方正仿宋_GBK" w:hAnsi="方正仿宋_GBK" w:eastAsia="方正仿宋_GBK" w:cs="方正仿宋_GBK"/>
          <w:sz w:val="32"/>
          <w:szCs w:val="32"/>
          <w:lang w:eastAsia="zh-CN"/>
        </w:rPr>
        <w:t>三、服务于</w:t>
      </w:r>
      <w:r>
        <w:rPr>
          <w:rFonts w:hint="eastAsia" w:ascii="方正仿宋_GBK" w:hAnsi="方正仿宋_GBK" w:eastAsia="方正仿宋_GBK" w:cs="方正仿宋_GBK"/>
          <w:color w:val="000000"/>
          <w:spacing w:val="0"/>
          <w:sz w:val="32"/>
          <w:szCs w:val="32"/>
          <w:shd w:val="clear" w:color="auto" w:fill="FFFFFF"/>
        </w:rPr>
        <w:t>城乡融合</w:t>
      </w:r>
      <w:r>
        <w:rPr>
          <w:rFonts w:hint="eastAsia" w:ascii="方正仿宋_GBK" w:hAnsi="方正仿宋_GBK" w:eastAsia="方正仿宋_GBK" w:cs="方正仿宋_GBK"/>
          <w:color w:val="000000"/>
          <w:spacing w:val="0"/>
          <w:sz w:val="32"/>
          <w:szCs w:val="32"/>
          <w:shd w:val="clear" w:color="auto" w:fill="FFFFFF"/>
          <w:lang w:eastAsia="zh-CN"/>
        </w:rPr>
        <w:t>发展</w:t>
      </w:r>
      <w:r>
        <w:rPr>
          <w:rFonts w:hint="eastAsia" w:ascii="方正仿宋_GBK" w:hAnsi="方正仿宋_GBK" w:eastAsia="方正仿宋_GBK" w:cs="方正仿宋_GBK"/>
          <w:color w:val="000000"/>
          <w:spacing w:val="0"/>
          <w:sz w:val="32"/>
          <w:szCs w:val="32"/>
          <w:shd w:val="clear" w:color="auto" w:fill="FFFFFF"/>
        </w:rPr>
        <w:t>且有邻避要求的</w:t>
      </w:r>
      <w:r>
        <w:rPr>
          <w:rFonts w:hint="eastAsia" w:ascii="方正仿宋_GBK" w:hAnsi="方正仿宋_GBK" w:eastAsia="方正仿宋_GBK" w:cs="方正仿宋_GBK"/>
          <w:color w:val="000000"/>
          <w:spacing w:val="0"/>
          <w:sz w:val="32"/>
          <w:szCs w:val="32"/>
          <w:shd w:val="clear" w:color="auto" w:fill="FFFFFF"/>
          <w:lang w:eastAsia="zh-CN"/>
        </w:rPr>
        <w:t>公用设施用地，包括</w:t>
      </w:r>
      <w:r>
        <w:rPr>
          <w:rFonts w:hint="eastAsia" w:ascii="方正仿宋_GBK" w:hAnsi="方正仿宋_GBK" w:eastAsia="方正仿宋_GBK" w:cs="方正仿宋_GBK"/>
          <w:color w:val="000000"/>
          <w:spacing w:val="0"/>
          <w:sz w:val="32"/>
          <w:szCs w:val="32"/>
          <w:shd w:val="clear" w:color="auto" w:fill="FFFFFF"/>
        </w:rPr>
        <w:t>供水、排水、供电、供热、供燃气、通信、广播电视、环卫、消防</w:t>
      </w:r>
      <w:r>
        <w:rPr>
          <w:rFonts w:hint="eastAsia" w:ascii="方正仿宋_GBK" w:hAnsi="方正仿宋_GBK" w:eastAsia="方正仿宋_GBK" w:cs="方正仿宋_GBK"/>
          <w:color w:val="000000"/>
          <w:spacing w:val="0"/>
          <w:sz w:val="32"/>
          <w:szCs w:val="32"/>
          <w:shd w:val="clear" w:color="auto" w:fill="FFFFFF"/>
          <w:lang w:eastAsia="zh-CN"/>
        </w:rPr>
        <w:t>、防洪等</w:t>
      </w:r>
      <w:r>
        <w:rPr>
          <w:rFonts w:hint="eastAsia" w:ascii="方正仿宋_GBK" w:hAnsi="方正仿宋_GBK" w:eastAsia="方正仿宋_GBK" w:cs="方正仿宋_GBK"/>
          <w:color w:val="000000"/>
          <w:spacing w:val="0"/>
          <w:sz w:val="32"/>
          <w:szCs w:val="32"/>
          <w:shd w:val="clear" w:color="auto" w:fill="FFFFFF"/>
        </w:rPr>
        <w:t>设施</w:t>
      </w:r>
      <w:r>
        <w:rPr>
          <w:rFonts w:hint="eastAsia" w:ascii="方正仿宋_GBK" w:hAnsi="方正仿宋_GBK" w:eastAsia="方正仿宋_GBK" w:cs="方正仿宋_GBK"/>
          <w:color w:val="000000"/>
          <w:spacing w:val="0"/>
          <w:sz w:val="32"/>
          <w:szCs w:val="32"/>
          <w:shd w:val="clear" w:color="auto" w:fill="FFFFFF"/>
          <w:lang w:eastAsia="zh-CN"/>
        </w:rPr>
        <w:t>用地</w:t>
      </w:r>
      <w:r>
        <w:rPr>
          <w:rFonts w:hint="eastAsia" w:ascii="方正仿宋_GBK" w:hAnsi="方正仿宋_GBK" w:eastAsia="方正仿宋_GBK" w:cs="方正仿宋_GBK"/>
          <w:color w:val="000000"/>
          <w:spacing w:val="0"/>
          <w:sz w:val="32"/>
          <w:szCs w:val="32"/>
          <w:shd w:val="clear" w:color="auto" w:fill="FFFFFF"/>
        </w:rPr>
        <w:t>。</w:t>
      </w:r>
    </w:p>
    <w:p>
      <w:pPr>
        <w:keepNext w:val="0"/>
        <w:kinsoku/>
        <w:autoSpaceDE/>
        <w:autoSpaceDN/>
        <w:adjustRightInd/>
        <w:snapToGrid/>
        <w:spacing w:line="60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四、服务于</w:t>
      </w:r>
      <w:r>
        <w:rPr>
          <w:rFonts w:hint="eastAsia" w:ascii="方正仿宋_GBK" w:hAnsi="方正仿宋_GBK" w:eastAsia="方正仿宋_GBK" w:cs="方正仿宋_GBK"/>
          <w:color w:val="000000"/>
          <w:spacing w:val="0"/>
          <w:sz w:val="32"/>
          <w:szCs w:val="32"/>
          <w:shd w:val="clear" w:color="auto" w:fill="FFFFFF"/>
        </w:rPr>
        <w:t>城乡融合</w:t>
      </w:r>
      <w:r>
        <w:rPr>
          <w:rFonts w:hint="eastAsia" w:ascii="方正仿宋_GBK" w:hAnsi="方正仿宋_GBK" w:eastAsia="方正仿宋_GBK" w:cs="方正仿宋_GBK"/>
          <w:color w:val="000000"/>
          <w:spacing w:val="0"/>
          <w:sz w:val="32"/>
          <w:szCs w:val="32"/>
          <w:shd w:val="clear" w:color="auto" w:fill="FFFFFF"/>
          <w:lang w:eastAsia="zh-CN"/>
        </w:rPr>
        <w:t>发展或有特殊选址要求</w:t>
      </w:r>
      <w:r>
        <w:rPr>
          <w:rFonts w:hint="eastAsia" w:ascii="方正仿宋_GBK" w:hAnsi="方正仿宋_GBK" w:eastAsia="方正仿宋_GBK" w:cs="方正仿宋_GBK"/>
          <w:color w:val="000000"/>
          <w:sz w:val="32"/>
          <w:szCs w:val="32"/>
          <w:lang w:eastAsia="zh-CN"/>
        </w:rPr>
        <w:t>的商业服务业用地，包括</w:t>
      </w:r>
      <w:r>
        <w:rPr>
          <w:rFonts w:hint="eastAsia" w:ascii="方正仿宋_GBK" w:hAnsi="方正仿宋_GBK" w:eastAsia="方正仿宋_GBK" w:cs="方正仿宋_GBK"/>
          <w:color w:val="000000"/>
          <w:spacing w:val="0"/>
          <w:sz w:val="32"/>
          <w:szCs w:val="32"/>
          <w:shd w:val="clear" w:color="auto" w:fill="FFFFFF"/>
        </w:rPr>
        <w:t>依托交通路网布局的公路</w:t>
      </w:r>
      <w:r>
        <w:rPr>
          <w:rFonts w:hint="eastAsia" w:ascii="方正仿宋_GBK" w:hAnsi="方正仿宋_GBK" w:eastAsia="方正仿宋_GBK" w:cs="方正仿宋_GBK"/>
          <w:color w:val="000000"/>
          <w:spacing w:val="0"/>
          <w:sz w:val="32"/>
          <w:szCs w:val="32"/>
          <w:highlight w:val="none"/>
          <w:shd w:val="clear" w:color="auto" w:fill="FFFFFF"/>
          <w:lang w:eastAsia="zh-CN"/>
        </w:rPr>
        <w:t>（</w:t>
      </w:r>
      <w:r>
        <w:rPr>
          <w:rFonts w:hint="eastAsia" w:ascii="方正仿宋_GBK" w:hAnsi="方正仿宋_GBK" w:eastAsia="方正仿宋_GBK" w:cs="方正仿宋_GBK"/>
          <w:color w:val="000000"/>
          <w:spacing w:val="0"/>
          <w:sz w:val="32"/>
          <w:szCs w:val="32"/>
          <w:highlight w:val="none"/>
          <w:shd w:val="clear" w:color="auto" w:fill="FFFFFF"/>
        </w:rPr>
        <w:t>水运航道</w:t>
      </w:r>
      <w:r>
        <w:rPr>
          <w:rFonts w:hint="eastAsia" w:ascii="方正仿宋_GBK" w:hAnsi="方正仿宋_GBK" w:eastAsia="方正仿宋_GBK" w:cs="方正仿宋_GBK"/>
          <w:color w:val="000000"/>
          <w:spacing w:val="0"/>
          <w:sz w:val="32"/>
          <w:szCs w:val="32"/>
          <w:highlight w:val="none"/>
          <w:shd w:val="clear" w:color="auto" w:fill="FFFFFF"/>
          <w:lang w:eastAsia="zh-CN"/>
        </w:rPr>
        <w:t>）</w:t>
      </w:r>
      <w:r>
        <w:rPr>
          <w:rFonts w:hint="eastAsia" w:ascii="方正仿宋_GBK" w:hAnsi="方正仿宋_GBK" w:eastAsia="方正仿宋_GBK" w:cs="方正仿宋_GBK"/>
          <w:color w:val="000000"/>
          <w:spacing w:val="0"/>
          <w:sz w:val="32"/>
          <w:szCs w:val="32"/>
          <w:shd w:val="clear" w:color="auto" w:fill="FFFFFF"/>
        </w:rPr>
        <w:t>服务区</w:t>
      </w:r>
      <w:r>
        <w:rPr>
          <w:rFonts w:hint="eastAsia" w:ascii="方正仿宋_GBK" w:hAnsi="方正仿宋_GBK" w:eastAsia="方正仿宋_GBK" w:cs="方正仿宋_GBK"/>
          <w:color w:val="000000"/>
          <w:spacing w:val="0"/>
          <w:sz w:val="32"/>
          <w:szCs w:val="32"/>
          <w:shd w:val="clear" w:color="auto" w:fill="FFFFFF"/>
          <w:lang w:eastAsia="zh-CN"/>
        </w:rPr>
        <w:t>，</w:t>
      </w:r>
      <w:r>
        <w:rPr>
          <w:rFonts w:hint="eastAsia" w:ascii="方正仿宋_GBK" w:hAnsi="方正仿宋_GBK" w:eastAsia="方正仿宋_GBK" w:cs="方正仿宋_GBK"/>
          <w:color w:val="000000"/>
          <w:sz w:val="32"/>
          <w:szCs w:val="32"/>
          <w:lang w:eastAsia="zh-CN"/>
        </w:rPr>
        <w:t>加油站、充换电站、加换气站、加氢站、制充氧站、液化天然气封装等公用设施营业网点用地，物流营业网点等其他</w:t>
      </w:r>
      <w:bookmarkStart w:id="0" w:name="_GoBack"/>
      <w:bookmarkEnd w:id="0"/>
      <w:r>
        <w:rPr>
          <w:rFonts w:hint="eastAsia" w:ascii="方正仿宋_GBK" w:hAnsi="方正仿宋_GBK" w:eastAsia="方正仿宋_GBK" w:cs="方正仿宋_GBK"/>
          <w:color w:val="000000"/>
          <w:sz w:val="32"/>
          <w:szCs w:val="32"/>
          <w:lang w:eastAsia="zh-CN"/>
        </w:rPr>
        <w:t>商业服务业用地。</w:t>
      </w:r>
    </w:p>
    <w:p>
      <w:pPr>
        <w:keepNext w:val="0"/>
        <w:keepLines w:val="0"/>
        <w:widowControl/>
        <w:suppressLineNumbers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i w:val="0"/>
          <w:caps w:val="0"/>
          <w:snapToGrid w:val="0"/>
          <w:color w:val="000000"/>
          <w:spacing w:val="0"/>
          <w:kern w:val="0"/>
          <w:sz w:val="32"/>
          <w:szCs w:val="32"/>
          <w:highlight w:val="none"/>
          <w:shd w:val="clear" w:fill="FFFFFF"/>
          <w:lang w:val="en-US" w:eastAsia="zh-CN" w:bidi="ar"/>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color w:val="000000"/>
          <w:spacing w:val="0"/>
          <w:sz w:val="32"/>
          <w:szCs w:val="32"/>
          <w:shd w:val="clear" w:color="auto" w:fill="FFFFFF"/>
        </w:rPr>
        <w:t>依托</w:t>
      </w:r>
      <w:r>
        <w:rPr>
          <w:rFonts w:hint="eastAsia" w:ascii="方正仿宋_GBK" w:hAnsi="方正仿宋_GBK" w:eastAsia="方正仿宋_GBK" w:cs="方正仿宋_GBK"/>
          <w:color w:val="000000"/>
          <w:spacing w:val="0"/>
          <w:sz w:val="32"/>
          <w:szCs w:val="32"/>
          <w:shd w:val="clear" w:color="auto" w:fill="FFFFFF"/>
          <w:lang w:eastAsia="zh-CN"/>
        </w:rPr>
        <w:t>矿产</w:t>
      </w:r>
      <w:r>
        <w:rPr>
          <w:rFonts w:hint="eastAsia" w:ascii="方正仿宋_GBK" w:hAnsi="方正仿宋_GBK" w:eastAsia="方正仿宋_GBK" w:cs="方正仿宋_GBK"/>
          <w:color w:val="000000"/>
          <w:spacing w:val="0"/>
          <w:sz w:val="32"/>
          <w:szCs w:val="32"/>
          <w:shd w:val="clear" w:color="auto" w:fill="FFFFFF"/>
        </w:rPr>
        <w:t>资源或有邻避要求</w:t>
      </w:r>
      <w:r>
        <w:rPr>
          <w:rFonts w:hint="eastAsia" w:ascii="方正仿宋_GBK" w:hAnsi="方正仿宋_GBK" w:eastAsia="方正仿宋_GBK" w:cs="方正仿宋_GBK"/>
          <w:color w:val="000000"/>
          <w:spacing w:val="0"/>
          <w:sz w:val="32"/>
          <w:szCs w:val="32"/>
          <w:shd w:val="clear" w:color="auto" w:fill="FFFFFF"/>
          <w:lang w:eastAsia="zh-CN"/>
        </w:rPr>
        <w:t>的工矿用地、仓储用地，包括</w:t>
      </w:r>
      <w:r>
        <w:rPr>
          <w:rFonts w:hint="eastAsia" w:ascii="方正仿宋_GBK" w:hAnsi="方正仿宋_GBK" w:eastAsia="方正仿宋_GBK" w:cs="方正仿宋_GBK"/>
          <w:i w:val="0"/>
          <w:iCs w:val="0"/>
          <w:caps w:val="0"/>
          <w:color w:val="000000"/>
          <w:spacing w:val="0"/>
          <w:sz w:val="32"/>
          <w:szCs w:val="32"/>
          <w:highlight w:val="none"/>
          <w:u w:val="none"/>
          <w:shd w:val="clear" w:color="auto" w:fill="FFFFFF"/>
        </w:rPr>
        <w:t>矿产资源加工</w:t>
      </w:r>
      <w:r>
        <w:rPr>
          <w:rFonts w:hint="eastAsia" w:ascii="方正仿宋_GBK" w:hAnsi="方正仿宋_GBK" w:eastAsia="方正仿宋_GBK" w:cs="方正仿宋_GBK"/>
          <w:i w:val="0"/>
          <w:iCs w:val="0"/>
          <w:caps w:val="0"/>
          <w:color w:val="000000"/>
          <w:spacing w:val="0"/>
          <w:sz w:val="32"/>
          <w:szCs w:val="32"/>
          <w:highlight w:val="none"/>
          <w:u w:val="none"/>
          <w:shd w:val="clear" w:color="auto" w:fill="FFFFFF"/>
          <w:lang w:eastAsia="zh-CN"/>
        </w:rPr>
        <w:t>、</w:t>
      </w:r>
      <w:r>
        <w:rPr>
          <w:rFonts w:hint="eastAsia" w:ascii="方正仿宋_GBK" w:hAnsi="方正仿宋_GBK" w:eastAsia="方正仿宋_GBK" w:cs="方正仿宋_GBK"/>
          <w:i w:val="0"/>
          <w:iCs w:val="0"/>
          <w:caps w:val="0"/>
          <w:color w:val="000000"/>
          <w:spacing w:val="0"/>
          <w:sz w:val="32"/>
          <w:szCs w:val="32"/>
          <w:shd w:val="clear" w:color="auto" w:fill="FFFFFF"/>
        </w:rPr>
        <w:t>历史遗留废弃矿山再利用</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设施、</w:t>
      </w:r>
      <w:r>
        <w:rPr>
          <w:rFonts w:hint="eastAsia" w:ascii="方正仿宋_GBK" w:hAnsi="方正仿宋_GBK" w:eastAsia="方正仿宋_GBK" w:cs="方正仿宋_GBK"/>
          <w:color w:val="000000"/>
          <w:spacing w:val="0"/>
          <w:sz w:val="32"/>
          <w:szCs w:val="32"/>
          <w:shd w:val="clear" w:color="auto" w:fill="FFFFFF"/>
        </w:rPr>
        <w:t>战略</w:t>
      </w:r>
      <w:r>
        <w:rPr>
          <w:rFonts w:hint="eastAsia" w:ascii="方正仿宋_GBK" w:hAnsi="方正仿宋_GBK" w:eastAsia="方正仿宋_GBK" w:cs="方正仿宋_GBK"/>
          <w:color w:val="000000"/>
          <w:spacing w:val="0"/>
          <w:sz w:val="32"/>
          <w:szCs w:val="32"/>
          <w:shd w:val="clear" w:color="auto" w:fill="FFFFFF"/>
          <w:lang w:eastAsia="zh-CN"/>
        </w:rPr>
        <w:t>性资源</w:t>
      </w:r>
      <w:r>
        <w:rPr>
          <w:rFonts w:hint="eastAsia" w:ascii="方正仿宋_GBK" w:hAnsi="方正仿宋_GBK" w:eastAsia="方正仿宋_GBK" w:cs="方正仿宋_GBK"/>
          <w:color w:val="000000"/>
          <w:spacing w:val="0"/>
          <w:sz w:val="32"/>
          <w:szCs w:val="32"/>
          <w:shd w:val="clear" w:color="auto" w:fill="FFFFFF"/>
        </w:rPr>
        <w:t>储备</w:t>
      </w:r>
      <w:r>
        <w:rPr>
          <w:rFonts w:hint="eastAsia" w:ascii="方正仿宋_GBK" w:hAnsi="方正仿宋_GBK" w:eastAsia="方正仿宋_GBK" w:cs="方正仿宋_GBK"/>
          <w:color w:val="000000"/>
          <w:spacing w:val="0"/>
          <w:sz w:val="32"/>
          <w:szCs w:val="32"/>
          <w:shd w:val="clear" w:color="auto" w:fill="FFFFFF"/>
          <w:lang w:eastAsia="zh-CN"/>
        </w:rPr>
        <w:t>库</w:t>
      </w:r>
      <w:r>
        <w:rPr>
          <w:rFonts w:hint="eastAsia" w:ascii="方正仿宋_GBK" w:hAnsi="方正仿宋_GBK" w:eastAsia="方正仿宋_GBK" w:cs="方正仿宋_GBK"/>
          <w:color w:val="000000"/>
          <w:spacing w:val="0"/>
          <w:sz w:val="32"/>
          <w:szCs w:val="32"/>
          <w:shd w:val="clear" w:color="auto" w:fill="FFFFFF"/>
        </w:rPr>
        <w:t>、</w:t>
      </w:r>
      <w:r>
        <w:rPr>
          <w:rFonts w:hint="eastAsia" w:ascii="方正仿宋_GBK" w:hAnsi="方正仿宋_GBK" w:eastAsia="方正仿宋_GBK" w:cs="方正仿宋_GBK"/>
          <w:color w:val="000000"/>
          <w:spacing w:val="0"/>
          <w:sz w:val="32"/>
          <w:szCs w:val="32"/>
          <w:shd w:val="clear" w:color="auto" w:fill="FFFFFF"/>
          <w:lang w:eastAsia="zh-CN"/>
        </w:rPr>
        <w:t>新型储能、</w:t>
      </w:r>
      <w:r>
        <w:rPr>
          <w:rFonts w:hint="eastAsia" w:ascii="方正仿宋_GBK" w:hAnsi="方正仿宋_GBK" w:eastAsia="方正仿宋_GBK" w:cs="方正仿宋_GBK"/>
          <w:color w:val="000000"/>
          <w:sz w:val="32"/>
          <w:szCs w:val="32"/>
          <w:lang w:eastAsia="zh-CN"/>
        </w:rPr>
        <w:t>危险品</w:t>
      </w:r>
      <w:r>
        <w:rPr>
          <w:rFonts w:hint="eastAsia" w:ascii="方正仿宋_GBK" w:hAnsi="方正仿宋_GBK" w:eastAsia="方正仿宋_GBK" w:cs="方正仿宋_GBK"/>
          <w:i w:val="0"/>
          <w:iCs w:val="0"/>
          <w:caps w:val="0"/>
          <w:color w:val="000000"/>
          <w:spacing w:val="0"/>
          <w:sz w:val="32"/>
          <w:szCs w:val="32"/>
          <w:shd w:val="clear" w:color="auto" w:fill="FFFFFF"/>
        </w:rPr>
        <w:t>加工</w:t>
      </w:r>
      <w:r>
        <w:rPr>
          <w:rFonts w:hint="eastAsia" w:ascii="方正仿宋_GBK" w:hAnsi="方正仿宋_GBK" w:eastAsia="方正仿宋_GBK" w:cs="方正仿宋_GBK"/>
          <w:i w:val="0"/>
          <w:iCs w:val="0"/>
          <w:caps w:val="0"/>
          <w:color w:val="000000"/>
          <w:spacing w:val="0"/>
          <w:sz w:val="32"/>
          <w:szCs w:val="32"/>
          <w:shd w:val="clear" w:color="auto" w:fill="FFFFFF"/>
          <w:lang w:eastAsia="zh-CN"/>
        </w:rPr>
        <w:t>及仓储</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highlight w:val="none"/>
          <w:lang w:eastAsia="zh-CN"/>
        </w:rPr>
        <w:t>废弃物再利用、</w:t>
      </w:r>
      <w:r>
        <w:rPr>
          <w:rFonts w:hint="eastAsia" w:ascii="方正仿宋_GBK" w:hAnsi="方正仿宋_GBK" w:eastAsia="方正仿宋_GBK" w:cs="方正仿宋_GBK"/>
          <w:color w:val="000000"/>
          <w:spacing w:val="0"/>
          <w:sz w:val="32"/>
          <w:szCs w:val="32"/>
          <w:shd w:val="clear" w:color="auto" w:fill="FFFFFF"/>
        </w:rPr>
        <w:t>混凝土搅拌</w:t>
      </w:r>
      <w:r>
        <w:rPr>
          <w:rFonts w:hint="eastAsia" w:ascii="方正仿宋_GBK" w:hAnsi="方正仿宋_GBK" w:eastAsia="方正仿宋_GBK" w:cs="方正仿宋_GBK"/>
          <w:color w:val="000000"/>
          <w:spacing w:val="0"/>
          <w:sz w:val="32"/>
          <w:szCs w:val="32"/>
          <w:shd w:val="clear" w:color="auto" w:fill="FFFFFF"/>
          <w:lang w:eastAsia="zh-CN"/>
        </w:rPr>
        <w:t>、</w:t>
      </w:r>
      <w:r>
        <w:rPr>
          <w:rFonts w:hint="eastAsia" w:ascii="方正仿宋_GBK" w:hAnsi="方正仿宋_GBK" w:eastAsia="方正仿宋_GBK" w:cs="方正仿宋_GBK"/>
          <w:color w:val="000000"/>
          <w:spacing w:val="0"/>
          <w:sz w:val="32"/>
          <w:szCs w:val="32"/>
          <w:shd w:val="clear" w:color="auto" w:fill="FFFFFF"/>
        </w:rPr>
        <w:t>建筑垃圾受纳加工、飞灰处理</w:t>
      </w:r>
      <w:r>
        <w:rPr>
          <w:rFonts w:hint="eastAsia" w:ascii="方正仿宋_GBK" w:hAnsi="方正仿宋_GBK" w:eastAsia="方正仿宋_GBK" w:cs="方正仿宋_GBK"/>
          <w:color w:val="000000"/>
          <w:spacing w:val="0"/>
          <w:sz w:val="32"/>
          <w:szCs w:val="32"/>
          <w:shd w:val="clear" w:color="auto" w:fill="FFFFFF"/>
          <w:lang w:eastAsia="zh-CN"/>
        </w:rPr>
        <w:t>、</w:t>
      </w:r>
      <w:r>
        <w:rPr>
          <w:rFonts w:hint="eastAsia" w:ascii="方正仿宋_GBK" w:hAnsi="方正仿宋_GBK" w:eastAsia="方正仿宋_GBK" w:cs="方正仿宋_GBK"/>
          <w:color w:val="000000"/>
          <w:sz w:val="32"/>
          <w:szCs w:val="32"/>
          <w:highlight w:val="none"/>
          <w:lang w:eastAsia="zh-CN"/>
        </w:rPr>
        <w:t>矿泉水厂、</w:t>
      </w:r>
      <w:r>
        <w:rPr>
          <w:rFonts w:hint="eastAsia" w:ascii="方正仿宋_GBK" w:hAnsi="方正仿宋_GBK" w:eastAsia="方正仿宋_GBK" w:cs="方正仿宋_GBK"/>
          <w:color w:val="000000"/>
          <w:sz w:val="32"/>
          <w:szCs w:val="32"/>
          <w:lang w:eastAsia="zh-CN"/>
        </w:rPr>
        <w:t>屠宰场、</w:t>
      </w:r>
      <w:r>
        <w:rPr>
          <w:rFonts w:hint="eastAsia" w:ascii="方正仿宋_GBK" w:hAnsi="方正仿宋_GBK" w:eastAsia="方正仿宋_GBK" w:cs="方正仿宋_GBK"/>
          <w:color w:val="000000"/>
          <w:sz w:val="32"/>
          <w:szCs w:val="32"/>
          <w:highlight w:val="none"/>
          <w:lang w:eastAsia="zh-CN"/>
        </w:rPr>
        <w:t>危化停车场等</w:t>
      </w:r>
      <w:r>
        <w:rPr>
          <w:rFonts w:hint="eastAsia" w:ascii="方正仿宋_GBK" w:hAnsi="方正仿宋_GBK" w:eastAsia="方正仿宋_GBK" w:cs="方正仿宋_GBK"/>
          <w:color w:val="000000"/>
          <w:sz w:val="32"/>
          <w:szCs w:val="32"/>
          <w:lang w:eastAsia="zh-CN"/>
        </w:rPr>
        <w:t>用地。</w:t>
      </w:r>
    </w:p>
    <w:p>
      <w:pPr>
        <w:keepNext w:val="0"/>
        <w:keepLines w:val="0"/>
        <w:widowControl/>
        <w:numPr>
          <w:ilvl w:val="0"/>
          <w:numId w:val="1"/>
        </w:numPr>
        <w:suppressLineNumbers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依托</w:t>
      </w:r>
      <w:r>
        <w:rPr>
          <w:rFonts w:hint="eastAsia" w:ascii="方正仿宋_GBK" w:hAnsi="方正仿宋_GBK" w:eastAsia="方正仿宋_GBK" w:cs="方正仿宋_GBK"/>
          <w:color w:val="000000"/>
          <w:sz w:val="32"/>
          <w:szCs w:val="32"/>
          <w:u w:val="none"/>
          <w:lang w:eastAsia="zh-CN"/>
        </w:rPr>
        <w:t>自然景观、历史文化等特定资源布局</w:t>
      </w:r>
      <w:r>
        <w:rPr>
          <w:rFonts w:hint="eastAsia" w:ascii="方正仿宋_GBK" w:hAnsi="方正仿宋_GBK" w:eastAsia="方正仿宋_GBK" w:cs="方正仿宋_GBK"/>
          <w:color w:val="000000"/>
          <w:sz w:val="32"/>
          <w:szCs w:val="32"/>
          <w:lang w:eastAsia="zh-CN"/>
        </w:rPr>
        <w:t>，有特殊选址要求的文旅产业用地或基础设施配套的公共管理与公共服务用地、商业服务业用地、交通运输用地、公用设施用地和绿地与开敞空间用地，包括</w:t>
      </w:r>
      <w:r>
        <w:rPr>
          <w:rFonts w:hint="eastAsia" w:ascii="方正仿宋_GBK" w:hAnsi="方正仿宋_GBK" w:eastAsia="方正仿宋_GBK" w:cs="方正仿宋_GBK"/>
          <w:color w:val="000000"/>
          <w:sz w:val="32"/>
          <w:szCs w:val="32"/>
          <w:highlight w:val="none"/>
          <w:lang w:eastAsia="zh-CN"/>
        </w:rPr>
        <w:t>葡萄酒庄、沙漠营地、冰雪运动等特色文体旅产业用地，</w:t>
      </w:r>
      <w:r>
        <w:rPr>
          <w:rFonts w:hint="eastAsia" w:ascii="方正仿宋_GBK" w:hAnsi="方正仿宋_GBK" w:eastAsia="方正仿宋_GBK" w:cs="方正仿宋_GBK"/>
          <w:color w:val="000000"/>
          <w:sz w:val="32"/>
          <w:szCs w:val="32"/>
          <w:lang w:eastAsia="zh-CN"/>
        </w:rPr>
        <w:t>文化馆（站、中心)、陈列馆、非遗馆（所、中心、基地）、红色教育基地、</w:t>
      </w:r>
      <w:r>
        <w:rPr>
          <w:rFonts w:hint="eastAsia" w:ascii="方正仿宋_GBK" w:hAnsi="方正仿宋_GBK" w:eastAsia="方正仿宋_GBK" w:cs="方正仿宋_GBK"/>
          <w:color w:val="000000"/>
          <w:spacing w:val="0"/>
          <w:sz w:val="32"/>
          <w:szCs w:val="32"/>
          <w:shd w:val="clear" w:color="auto" w:fill="FFFFFF"/>
        </w:rPr>
        <w:t>遗址公园、</w:t>
      </w:r>
      <w:r>
        <w:rPr>
          <w:rFonts w:hint="eastAsia" w:ascii="方正仿宋_GBK" w:hAnsi="方正仿宋_GBK" w:eastAsia="方正仿宋_GBK" w:cs="方正仿宋_GBK"/>
          <w:color w:val="000000"/>
          <w:sz w:val="32"/>
          <w:szCs w:val="32"/>
          <w:lang w:eastAsia="zh-CN"/>
        </w:rPr>
        <w:t>郊野公园及野生动（植）物园，景区必备的零售商业、餐饮、旅馆、公用设施营业网点、剧院、游客服务中心（集散中心、咨询点）、宣教设施、景区连接道路、景区停车场、自驾车营地等</w:t>
      </w:r>
      <w:r>
        <w:rPr>
          <w:rFonts w:hint="eastAsia" w:ascii="方正仿宋_GBK" w:hAnsi="方正仿宋_GBK" w:eastAsia="方正仿宋_GBK" w:cs="方正仿宋_GBK"/>
          <w:color w:val="000000"/>
          <w:sz w:val="32"/>
          <w:szCs w:val="32"/>
          <w:highlight w:val="none"/>
          <w:lang w:eastAsia="zh-CN"/>
        </w:rPr>
        <w:t>配套服务设施。</w:t>
      </w:r>
    </w:p>
    <w:p>
      <w:pPr>
        <w:keepNext w:val="0"/>
        <w:keepLines w:val="0"/>
        <w:widowControl/>
        <w:numPr>
          <w:ilvl w:val="0"/>
          <w:numId w:val="1"/>
        </w:numPr>
        <w:suppressLineNumbers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pacing w:val="0"/>
          <w:sz w:val="32"/>
          <w:szCs w:val="32"/>
          <w:shd w:val="clear" w:color="auto" w:fill="FFFFFF"/>
          <w:lang w:val="en-US" w:eastAsia="zh-CN"/>
        </w:rPr>
        <w:t>有特殊选址要求的防灾减灾救灾、</w:t>
      </w:r>
      <w:r>
        <w:rPr>
          <w:rFonts w:hint="eastAsia" w:ascii="方正仿宋_GBK" w:hAnsi="方正仿宋_GBK" w:eastAsia="方正仿宋_GBK" w:cs="方正仿宋_GBK"/>
          <w:color w:val="000000"/>
          <w:spacing w:val="0"/>
          <w:sz w:val="32"/>
          <w:szCs w:val="32"/>
          <w:shd w:val="clear" w:color="auto" w:fill="FFFFFF"/>
        </w:rPr>
        <w:t>“平急两用”</w:t>
      </w:r>
      <w:r>
        <w:rPr>
          <w:rFonts w:hint="eastAsia" w:ascii="方正仿宋_GBK" w:hAnsi="方正仿宋_GBK" w:eastAsia="方正仿宋_GBK" w:cs="方正仿宋_GBK"/>
          <w:color w:val="000000"/>
          <w:spacing w:val="0"/>
          <w:sz w:val="32"/>
          <w:szCs w:val="32"/>
          <w:shd w:val="clear" w:color="auto" w:fill="FFFFFF"/>
          <w:lang w:eastAsia="zh-CN"/>
        </w:rPr>
        <w:t>等公共</w:t>
      </w:r>
      <w:r>
        <w:rPr>
          <w:rFonts w:hint="eastAsia" w:ascii="方正仿宋_GBK" w:hAnsi="方正仿宋_GBK" w:eastAsia="方正仿宋_GBK" w:cs="方正仿宋_GBK"/>
          <w:color w:val="000000"/>
          <w:spacing w:val="0"/>
          <w:sz w:val="32"/>
          <w:szCs w:val="32"/>
          <w:shd w:val="clear" w:color="auto" w:fill="FFFFFF"/>
          <w:lang w:val="en-US" w:eastAsia="zh-CN"/>
        </w:rPr>
        <w:t>基础设施用地。</w:t>
      </w:r>
    </w:p>
    <w:p>
      <w:pPr>
        <w:keepNext w:val="0"/>
        <w:keepLines w:val="0"/>
        <w:widowControl/>
        <w:numPr>
          <w:ilvl w:val="0"/>
          <w:numId w:val="1"/>
        </w:numPr>
        <w:suppressLineNumbers w:val="0"/>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u w:val="none"/>
          <w:lang w:eastAsia="zh-CN"/>
        </w:rPr>
      </w:pPr>
      <w:r>
        <w:rPr>
          <w:rFonts w:hint="eastAsia" w:ascii="方正仿宋_GBK" w:hAnsi="方正仿宋_GBK" w:eastAsia="方正仿宋_GBK" w:cs="方正仿宋_GBK"/>
          <w:color w:val="000000"/>
          <w:spacing w:val="0"/>
          <w:sz w:val="32"/>
          <w:szCs w:val="32"/>
          <w:u w:val="none"/>
          <w:shd w:val="clear" w:color="auto" w:fill="FFFFFF"/>
        </w:rPr>
        <w:t>依托本地农业资源布局的农村一二三产业融合发展用地、乡村振兴等初级加工产业用地</w:t>
      </w:r>
      <w:r>
        <w:rPr>
          <w:rFonts w:hint="eastAsia" w:ascii="方正仿宋_GBK" w:hAnsi="方正仿宋_GBK" w:eastAsia="方正仿宋_GBK" w:cs="方正仿宋_GBK"/>
          <w:color w:val="000000"/>
          <w:spacing w:val="0"/>
          <w:sz w:val="32"/>
          <w:szCs w:val="32"/>
          <w:u w:val="none"/>
          <w:shd w:val="clear" w:color="auto" w:fill="FFFFFF"/>
          <w:lang w:eastAsia="zh-CN"/>
        </w:rPr>
        <w:t>。</w:t>
      </w:r>
    </w:p>
    <w:p>
      <w:pPr>
        <w:numPr>
          <w:ilvl w:val="0"/>
          <w:numId w:val="0"/>
        </w:numPr>
        <w:kinsoku/>
        <w:autoSpaceDE/>
        <w:autoSpaceDN/>
        <w:adjustRightInd/>
        <w:snapToGrid/>
        <w:spacing w:line="600" w:lineRule="exact"/>
        <w:ind w:firstLine="640" w:firstLineChars="200"/>
        <w:jc w:val="both"/>
        <w:textAlignment w:val="auto"/>
        <w:rPr>
          <w:rFonts w:hint="eastAsia" w:ascii="方正仿宋_GBK" w:hAnsi="方正仿宋_GBK" w:eastAsia="方正仿宋_GBK" w:cs="方正仿宋_GBK"/>
          <w:color w:val="000000"/>
          <w:sz w:val="32"/>
          <w:szCs w:val="32"/>
          <w:highlight w:val="none"/>
          <w:lang w:eastAsia="zh-CN"/>
        </w:rPr>
      </w:pPr>
      <w:r>
        <w:rPr>
          <w:rFonts w:hint="eastAsia" w:ascii="方正仿宋_GBK" w:hAnsi="方正仿宋_GBK" w:eastAsia="方正仿宋_GBK" w:cs="方正仿宋_GBK"/>
          <w:color w:val="000000"/>
          <w:spacing w:val="0"/>
          <w:sz w:val="32"/>
          <w:szCs w:val="32"/>
          <w:shd w:val="clear" w:color="auto" w:fill="FFFFFF"/>
          <w:lang w:eastAsia="zh-CN"/>
        </w:rPr>
        <w:t>九、</w:t>
      </w:r>
      <w:r>
        <w:rPr>
          <w:rFonts w:hint="eastAsia" w:ascii="方正仿宋_GBK" w:hAnsi="方正仿宋_GBK" w:eastAsia="方正仿宋_GBK" w:cs="方正仿宋_GBK"/>
          <w:color w:val="000000"/>
          <w:spacing w:val="0"/>
          <w:sz w:val="32"/>
          <w:szCs w:val="32"/>
          <w:shd w:val="clear" w:color="auto" w:fill="FFFFFF"/>
        </w:rPr>
        <w:t>其他法律法规</w:t>
      </w:r>
      <w:r>
        <w:rPr>
          <w:rFonts w:hint="eastAsia" w:ascii="方正仿宋_GBK" w:hAnsi="方正仿宋_GBK" w:eastAsia="方正仿宋_GBK" w:cs="方正仿宋_GBK"/>
          <w:color w:val="000000"/>
          <w:spacing w:val="0"/>
          <w:sz w:val="32"/>
          <w:szCs w:val="32"/>
          <w:shd w:val="clear" w:color="auto" w:fill="FFFFFF"/>
          <w:lang w:eastAsia="zh-CN"/>
        </w:rPr>
        <w:t>、政策文件</w:t>
      </w:r>
      <w:r>
        <w:rPr>
          <w:rFonts w:hint="eastAsia" w:ascii="方正仿宋_GBK" w:hAnsi="方正仿宋_GBK" w:eastAsia="方正仿宋_GBK" w:cs="方正仿宋_GBK"/>
          <w:color w:val="000000"/>
          <w:spacing w:val="0"/>
          <w:sz w:val="32"/>
          <w:szCs w:val="32"/>
          <w:shd w:val="clear" w:color="auto" w:fill="FFFFFF"/>
        </w:rPr>
        <w:t>规定的可以在城镇开发边界外布局的</w:t>
      </w:r>
      <w:r>
        <w:rPr>
          <w:rFonts w:hint="eastAsia" w:ascii="方正仿宋_GBK" w:hAnsi="方正仿宋_GBK" w:eastAsia="方正仿宋_GBK" w:cs="方正仿宋_GBK"/>
          <w:color w:val="000000"/>
          <w:spacing w:val="0"/>
          <w:sz w:val="32"/>
          <w:szCs w:val="32"/>
          <w:shd w:val="clear" w:color="auto" w:fill="FFFFFF"/>
          <w:lang w:eastAsia="zh-CN"/>
        </w:rPr>
        <w:t>零星城镇建设</w:t>
      </w:r>
      <w:r>
        <w:rPr>
          <w:rFonts w:hint="eastAsia" w:ascii="方正仿宋_GBK" w:hAnsi="方正仿宋_GBK" w:eastAsia="方正仿宋_GBK" w:cs="方正仿宋_GBK"/>
          <w:color w:val="000000"/>
          <w:spacing w:val="0"/>
          <w:sz w:val="32"/>
          <w:szCs w:val="32"/>
          <w:shd w:val="clear" w:color="auto" w:fill="FFFFFF"/>
        </w:rPr>
        <w:t>用地。</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auto"/>
    <w:pitch w:val="default"/>
    <w:sig w:usb0="00000000" w:usb1="00000000" w:usb2="00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Microsoft YaHei">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67D155"/>
    <w:multiLevelType w:val="singleLevel"/>
    <w:tmpl w:val="FF67D15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8F621D"/>
    <w:rsid w:val="161E1FE3"/>
    <w:rsid w:val="1B6F0204"/>
    <w:rsid w:val="1BF7BCB3"/>
    <w:rsid w:val="2BFF1966"/>
    <w:rsid w:val="376F17C8"/>
    <w:rsid w:val="3F766C33"/>
    <w:rsid w:val="3FBE5D23"/>
    <w:rsid w:val="5ABD178F"/>
    <w:rsid w:val="5B9E4A6A"/>
    <w:rsid w:val="5BF5A005"/>
    <w:rsid w:val="5DDF9F21"/>
    <w:rsid w:val="5DEF3860"/>
    <w:rsid w:val="5FEAA9E3"/>
    <w:rsid w:val="5FFF91A3"/>
    <w:rsid w:val="64986B0B"/>
    <w:rsid w:val="67B77D37"/>
    <w:rsid w:val="68BFE30B"/>
    <w:rsid w:val="6DDFED2A"/>
    <w:rsid w:val="735FB7CC"/>
    <w:rsid w:val="76DA880F"/>
    <w:rsid w:val="77F64B45"/>
    <w:rsid w:val="78DE0D1A"/>
    <w:rsid w:val="7B7C4BCB"/>
    <w:rsid w:val="7D26D64E"/>
    <w:rsid w:val="7D7DA6C9"/>
    <w:rsid w:val="7EB7A8A4"/>
    <w:rsid w:val="7F4716EE"/>
    <w:rsid w:val="7F73065E"/>
    <w:rsid w:val="7FEEA19E"/>
    <w:rsid w:val="7FF75D37"/>
    <w:rsid w:val="7FF78AE0"/>
    <w:rsid w:val="7FF7DA1A"/>
    <w:rsid w:val="9DAE3C46"/>
    <w:rsid w:val="BCBE7D16"/>
    <w:rsid w:val="BCFEB571"/>
    <w:rsid w:val="BD7ECC04"/>
    <w:rsid w:val="BFCBE37B"/>
    <w:rsid w:val="D3BFC41C"/>
    <w:rsid w:val="D77F1A88"/>
    <w:rsid w:val="D78F621D"/>
    <w:rsid w:val="D9BBC2AE"/>
    <w:rsid w:val="DDBC0393"/>
    <w:rsid w:val="DDFD5C9F"/>
    <w:rsid w:val="DF1F2AD3"/>
    <w:rsid w:val="DFFF011C"/>
    <w:rsid w:val="E2B3316C"/>
    <w:rsid w:val="E2F79D9C"/>
    <w:rsid w:val="E77FFDF7"/>
    <w:rsid w:val="EDDFCDC4"/>
    <w:rsid w:val="EFF5635E"/>
    <w:rsid w:val="F6F57B43"/>
    <w:rsid w:val="F7BFAFD0"/>
    <w:rsid w:val="FA3C3F39"/>
    <w:rsid w:val="FAD6B244"/>
    <w:rsid w:val="FDCFA81B"/>
    <w:rsid w:val="FE3BFE21"/>
    <w:rsid w:val="FE6F2166"/>
    <w:rsid w:val="FEA77569"/>
    <w:rsid w:val="FEBD3CD7"/>
    <w:rsid w:val="FF9FCADB"/>
    <w:rsid w:val="FFB633DE"/>
    <w:rsid w:val="FFBB8CE2"/>
    <w:rsid w:val="FFEA1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qFormat/>
    <w:uiPriority w:val="0"/>
    <w:pPr>
      <w:keepNext/>
      <w:spacing w:before="240" w:after="60"/>
      <w:outlineLvl w:val="0"/>
    </w:pPr>
    <w:rPr>
      <w:rFonts w:ascii="Cambria" w:hAnsi="Cambria"/>
      <w:b/>
      <w:bCs/>
      <w:kern w:val="32"/>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2025-03-10T16:50:00Z</dcterms:created>
  <dc:creator>杨柏</dc:creator>
  <cp:lastModifiedBy>ht706</cp:lastModifiedBy>
  <cp:lastPrinted>2025-03-21T18:23:00Z</cp:lastPrinted>
  <dcterms:modified xsi:type="dcterms:W3CDTF">2025-03-21T16:07:34Z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22F15799BA719B904B10C8677AE865AF_41</vt:lpwstr>
  </property>
</Properties>
</file>