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附件1: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37" w:line="254" w:lineRule="auto"/>
        <w:ind w:left="2405" w:right="268" w:hanging="238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2"/>
          <w:sz w:val="42"/>
          <w:szCs w:val="42"/>
          <w:u w:val="none" w:color="auto"/>
        </w:rPr>
        <w:t>“十四五”全国自然资源调查</w:t>
      </w:r>
      <w:r>
        <w:rPr>
          <w:rFonts w:ascii="宋体" w:hAnsi="宋体" w:eastAsia="宋体" w:cs="宋体"/>
          <w:b/>
          <w:bCs/>
          <w:spacing w:val="-2"/>
          <w:sz w:val="42"/>
          <w:szCs w:val="42"/>
        </w:rPr>
        <w:t>监测劳动和技能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42"/>
          <w:szCs w:val="42"/>
        </w:rPr>
        <w:t>竞赛先进单位推荐表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6"/>
        <w:spacing w:before="88" w:line="221" w:lineRule="auto"/>
        <w:ind w:left="154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-2"/>
          <w:sz w:val="32"/>
          <w:szCs w:val="32"/>
        </w:rPr>
        <w:t>推荐单位：</w:t>
      </w:r>
      <w:r>
        <w:rPr>
          <w:rFonts w:hint="eastAsia" w:ascii="方正楷体_GBK" w:hAnsi="方正楷体_GBK" w:eastAsia="方正楷体_GBK" w:cs="方正楷体_GBK"/>
          <w:spacing w:val="104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 w:color="auto"/>
          <w:lang w:eastAsia="zh-CN"/>
        </w:rPr>
        <w:t>宁夏回族自治区自然资源厅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ind w:firstLine="1580" w:firstLineChars="500"/>
        <w:rPr>
          <w:rFonts w:hint="eastAsia" w:ascii="方正楷体_GBK" w:hAnsi="方正楷体_GBK" w:eastAsia="方正楷体_GBK" w:cs="方正楷体_GBK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填报时间：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2"/>
          <w:kern w:val="0"/>
          <w:sz w:val="32"/>
          <w:szCs w:val="32"/>
          <w:u w:val="single"/>
          <w:lang w:val="en-US" w:eastAsia="en-US" w:bidi="ar-SA"/>
        </w:rPr>
        <w:t>2024年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2"/>
          <w:kern w:val="0"/>
          <w:sz w:val="32"/>
          <w:szCs w:val="32"/>
          <w:u w:val="single"/>
          <w:lang w:val="en-US" w:eastAsia="zh-CN" w:bidi="ar-SA"/>
        </w:rPr>
        <w:t xml:space="preserve"> 12 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2"/>
          <w:kern w:val="0"/>
          <w:sz w:val="32"/>
          <w:szCs w:val="32"/>
          <w:u w:val="single"/>
          <w:lang w:val="en-US" w:eastAsia="en-US" w:bidi="ar-SA"/>
        </w:rPr>
        <w:t>月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2"/>
          <w:kern w:val="0"/>
          <w:sz w:val="32"/>
          <w:szCs w:val="32"/>
          <w:u w:val="single"/>
          <w:lang w:val="en-US" w:eastAsia="zh-CN" w:bidi="ar-SA"/>
        </w:rPr>
        <w:t xml:space="preserve"> 30 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2"/>
          <w:kern w:val="0"/>
          <w:sz w:val="32"/>
          <w:szCs w:val="32"/>
          <w:u w:val="single"/>
          <w:lang w:val="en-US" w:eastAsia="en-US" w:bidi="ar-SA"/>
        </w:rPr>
        <w:t>日</w:t>
      </w:r>
    </w:p>
    <w:p>
      <w:pPr>
        <w:spacing w:line="249" w:lineRule="auto"/>
        <w:rPr>
          <w:rFonts w:hint="default" w:ascii="方正楷体_GBK" w:hAnsi="方正楷体_GBK" w:eastAsia="方正楷体_GBK" w:cs="方正楷体_GBK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sectPr>
          <w:pgSz w:w="11910" w:h="16850"/>
          <w:pgMar w:top="1432" w:right="1696" w:bottom="1718" w:left="1470" w:header="0" w:footer="1521" w:gutter="0"/>
          <w:cols w:space="720" w:num="1"/>
        </w:sect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 xml:space="preserve">  </w:t>
      </w:r>
    </w:p>
    <w:p>
      <w:pPr>
        <w:spacing w:line="162" w:lineRule="exact"/>
      </w:pPr>
    </w:p>
    <w:tbl>
      <w:tblPr>
        <w:tblStyle w:val="10"/>
        <w:tblW w:w="93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3906"/>
        <w:gridCol w:w="1259"/>
        <w:gridCol w:w="2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83" w:type="dxa"/>
            <w:vAlign w:val="top"/>
          </w:tcPr>
          <w:p>
            <w:pPr>
              <w:spacing w:before="245" w:line="220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3906" w:type="dxa"/>
            <w:vAlign w:val="center"/>
          </w:tcPr>
          <w:p>
            <w:pPr>
              <w:pStyle w:val="1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宁夏回族自治区自然资源厅</w:t>
            </w:r>
          </w:p>
          <w:p>
            <w:pPr>
              <w:pStyle w:val="11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自然资源调查监测处</w:t>
            </w:r>
          </w:p>
        </w:tc>
        <w:tc>
          <w:tcPr>
            <w:tcW w:w="1259" w:type="dxa"/>
            <w:vAlign w:val="top"/>
          </w:tcPr>
          <w:p>
            <w:pPr>
              <w:spacing w:before="244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2609" w:type="dxa"/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郭建林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83" w:type="dxa"/>
            <w:vAlign w:val="top"/>
          </w:tcPr>
          <w:p>
            <w:pPr>
              <w:spacing w:before="241" w:line="220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单位地址</w:t>
            </w:r>
          </w:p>
        </w:tc>
        <w:tc>
          <w:tcPr>
            <w:tcW w:w="7774" w:type="dxa"/>
            <w:gridSpan w:val="3"/>
            <w:vAlign w:val="center"/>
          </w:tcPr>
          <w:p>
            <w:pPr>
              <w:pStyle w:val="11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宁夏回族自治区银川市金凤区尹家渠北街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83" w:type="dxa"/>
            <w:vAlign w:val="top"/>
          </w:tcPr>
          <w:p>
            <w:pPr>
              <w:spacing w:before="251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职工总数</w:t>
            </w:r>
          </w:p>
        </w:tc>
        <w:tc>
          <w:tcPr>
            <w:tcW w:w="3906" w:type="dxa"/>
            <w:vAlign w:val="center"/>
          </w:tcPr>
          <w:p>
            <w:pPr>
              <w:pStyle w:val="11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9" w:type="dxa"/>
            <w:vAlign w:val="top"/>
          </w:tcPr>
          <w:p>
            <w:pPr>
              <w:spacing w:before="251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2609" w:type="dxa"/>
            <w:vAlign w:val="top"/>
          </w:tcPr>
          <w:p>
            <w:pPr>
              <w:pStyle w:val="11"/>
            </w:pPr>
          </w:p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750002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83" w:type="dxa"/>
            <w:vAlign w:val="top"/>
          </w:tcPr>
          <w:p>
            <w:pPr>
              <w:spacing w:before="255" w:line="221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3906" w:type="dxa"/>
            <w:vAlign w:val="center"/>
          </w:tcPr>
          <w:p>
            <w:pPr>
              <w:pStyle w:val="1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李松兴</w:t>
            </w:r>
          </w:p>
        </w:tc>
        <w:tc>
          <w:tcPr>
            <w:tcW w:w="1259" w:type="dxa"/>
            <w:vAlign w:val="top"/>
          </w:tcPr>
          <w:p>
            <w:pPr>
              <w:spacing w:before="250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609" w:type="dxa"/>
            <w:vAlign w:val="center"/>
          </w:tcPr>
          <w:p>
            <w:pPr>
              <w:pStyle w:val="11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15809575111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83" w:type="dxa"/>
            <w:vAlign w:val="top"/>
          </w:tcPr>
          <w:p>
            <w:pPr>
              <w:spacing w:before="246" w:line="221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906" w:type="dxa"/>
            <w:vAlign w:val="center"/>
          </w:tcPr>
          <w:p>
            <w:pPr>
              <w:pStyle w:val="11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0951-5053284</w:t>
            </w:r>
          </w:p>
        </w:tc>
        <w:tc>
          <w:tcPr>
            <w:tcW w:w="1259" w:type="dxa"/>
            <w:vAlign w:val="top"/>
          </w:tcPr>
          <w:p>
            <w:pPr>
              <w:spacing w:before="241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2609" w:type="dxa"/>
            <w:vAlign w:val="center"/>
          </w:tcPr>
          <w:p>
            <w:pPr>
              <w:pStyle w:val="11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0951-5043050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</w:trPr>
        <w:tc>
          <w:tcPr>
            <w:tcW w:w="1583" w:type="dxa"/>
            <w:vAlign w:val="center"/>
          </w:tcPr>
          <w:p>
            <w:pPr>
              <w:spacing w:before="78" w:line="331" w:lineRule="auto"/>
              <w:ind w:left="545" w:right="5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单位 简介</w:t>
            </w:r>
          </w:p>
        </w:tc>
        <w:tc>
          <w:tcPr>
            <w:tcW w:w="7774" w:type="dxa"/>
            <w:gridSpan w:val="3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宁夏回族自治区自然资源厅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自然资源调查监测处是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宁夏回族自治区自然资源厅机关内设处室，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主要职责是贯彻执行自然资源调查监测和统计分析评价的指标体系、统计标准，组织实施全区自然资源基础调查、变更调查、动态监测和统计分析评价。组织开展全区水、森林、草原、湿地资源和地理国情等专项调查监测评价工作。承担自然资源调查监测评价成果的汇交管理、维护、发布、共享和利用监督。</w:t>
            </w:r>
          </w:p>
          <w:p>
            <w:pPr>
              <w:pStyle w:val="11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0" w:hRule="atLeast"/>
        </w:trPr>
        <w:tc>
          <w:tcPr>
            <w:tcW w:w="1583" w:type="dxa"/>
            <w:vAlign w:val="top"/>
          </w:tcPr>
          <w:p>
            <w:pPr>
              <w:pStyle w:val="11"/>
              <w:spacing w:line="251" w:lineRule="auto"/>
            </w:pPr>
          </w:p>
          <w:p>
            <w:pPr>
              <w:pStyle w:val="11"/>
              <w:spacing w:line="251" w:lineRule="auto"/>
            </w:pPr>
          </w:p>
          <w:p>
            <w:pPr>
              <w:pStyle w:val="11"/>
              <w:spacing w:line="251" w:lineRule="auto"/>
            </w:pPr>
          </w:p>
          <w:p>
            <w:pPr>
              <w:pStyle w:val="11"/>
              <w:spacing w:line="252" w:lineRule="auto"/>
            </w:pPr>
          </w:p>
          <w:p>
            <w:pPr>
              <w:pStyle w:val="11"/>
              <w:spacing w:line="252" w:lineRule="auto"/>
            </w:pPr>
          </w:p>
          <w:p>
            <w:pPr>
              <w:pStyle w:val="11"/>
              <w:spacing w:line="252" w:lineRule="auto"/>
            </w:pPr>
          </w:p>
          <w:p>
            <w:pPr>
              <w:pStyle w:val="11"/>
              <w:spacing w:line="252" w:lineRule="auto"/>
            </w:pPr>
          </w:p>
          <w:p>
            <w:pPr>
              <w:spacing w:before="78" w:line="328" w:lineRule="auto"/>
              <w:ind w:left="545" w:right="52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承担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调查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监测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任务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7774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2024年，我处全面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贯彻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落实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自然资源部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对自然资源调查监测工作的决策部署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高质量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完成国土变更调查、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林草湿荒普查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任务。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一是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高效完成2023年度国土变更调查，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"/>
              </w:rPr>
              <w:t>变更调查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成果及时提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供应用，统一“底版”日益夯实。2024年度变更调查全面启动，图斑已全部下发，县级调查举证图斑基本完成。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二是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加强与林草部门衔接，统筹推进林草湿荒普查，精准对接林草湿不一致图斑，成果及时纳入2024年变更调查，真正做到共建“一张图”、共用“一套数”。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三是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开展水资源基础调查，以水域空间调查、地表水储存量调查、地下水调查评价等为年度工作重点，形成阶段性调查成果。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四是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开展生态资源本底调查，构建了生态资源调查体系，摸清了全区生态资源家底，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形成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了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体现宁夏特色的生态资源本底数据库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和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技术规程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五是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细化城市国土空间监测，完成教育、住宅等13项34类细化要素采集、更新工作，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形成全区城市国土空间监测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成果。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六是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紧扣自治区决策部署、自然资源管理工作需求开展日常监测，实现变化监测图斑早发现早处置，实时动态掌握自然资源变化情况。聚焦自治区“六新六特”产业发展需求，持续开展葡萄、枸杞、新能源等特色产业专题监测，拓展自然资源监测的深度和广度，客观真实掌握全区各类产业用地现状。</w:t>
            </w:r>
          </w:p>
          <w:p>
            <w:pPr>
              <w:pStyle w:val="11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50"/>
          <w:pgMar w:top="1432" w:right="1314" w:bottom="1680" w:left="1294" w:header="0" w:footer="1481" w:gutter="0"/>
          <w:cols w:space="720" w:num="1"/>
        </w:sectPr>
      </w:pPr>
    </w:p>
    <w:p>
      <w:pPr>
        <w:spacing w:line="32" w:lineRule="exact"/>
      </w:pPr>
    </w:p>
    <w:tbl>
      <w:tblPr>
        <w:tblStyle w:val="10"/>
        <w:tblW w:w="9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7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29" w:type="dxa"/>
            <w:gridSpan w:val="2"/>
            <w:vAlign w:val="top"/>
          </w:tcPr>
          <w:p>
            <w:pPr>
              <w:spacing w:before="113" w:line="219" w:lineRule="auto"/>
              <w:ind w:left="29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事迹材料(字数不超过2000字)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6" w:hRule="atLeast"/>
        </w:trPr>
        <w:tc>
          <w:tcPr>
            <w:tcW w:w="9329" w:type="dxa"/>
            <w:gridSpan w:val="2"/>
            <w:vAlign w:val="center"/>
          </w:tcPr>
          <w:p>
            <w:pPr>
              <w:spacing w:before="208" w:line="219" w:lineRule="auto"/>
              <w:ind w:firstLine="3408" w:firstLineChars="1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（事迹材料详见附件）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1873" w:type="dxa"/>
            <w:vAlign w:val="top"/>
          </w:tcPr>
          <w:p>
            <w:pPr>
              <w:pStyle w:val="11"/>
              <w:spacing w:line="243" w:lineRule="auto"/>
            </w:pPr>
          </w:p>
          <w:p>
            <w:pPr>
              <w:pStyle w:val="11"/>
              <w:spacing w:line="243" w:lineRule="auto"/>
            </w:pPr>
          </w:p>
          <w:p>
            <w:pPr>
              <w:pStyle w:val="11"/>
              <w:spacing w:line="244" w:lineRule="auto"/>
            </w:pPr>
          </w:p>
          <w:p>
            <w:pPr>
              <w:pStyle w:val="11"/>
              <w:spacing w:line="244" w:lineRule="auto"/>
            </w:pPr>
          </w:p>
          <w:p>
            <w:pPr>
              <w:pStyle w:val="11"/>
              <w:spacing w:line="244" w:lineRule="auto"/>
            </w:pPr>
          </w:p>
          <w:p>
            <w:pPr>
              <w:spacing w:before="78" w:line="271" w:lineRule="auto"/>
              <w:ind w:left="443" w:right="208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何时何地受过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何种表彰</w:t>
            </w:r>
          </w:p>
        </w:tc>
        <w:tc>
          <w:tcPr>
            <w:tcW w:w="7456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873" w:type="dxa"/>
            <w:vAlign w:val="top"/>
          </w:tcPr>
          <w:p>
            <w:pPr>
              <w:pStyle w:val="11"/>
              <w:spacing w:line="312" w:lineRule="auto"/>
            </w:pPr>
          </w:p>
          <w:p>
            <w:pPr>
              <w:pStyle w:val="11"/>
              <w:spacing w:line="312" w:lineRule="auto"/>
            </w:pPr>
          </w:p>
          <w:p>
            <w:pPr>
              <w:spacing w:before="78" w:line="310" w:lineRule="auto"/>
              <w:ind w:left="683" w:right="467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推荐单位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456" w:type="dxa"/>
            <w:vAlign w:val="top"/>
          </w:tcPr>
          <w:p>
            <w:pPr>
              <w:pStyle w:val="11"/>
              <w:spacing w:line="242" w:lineRule="auto"/>
            </w:pPr>
          </w:p>
          <w:p>
            <w:pPr>
              <w:pStyle w:val="11"/>
              <w:spacing w:line="242" w:lineRule="auto"/>
            </w:pPr>
          </w:p>
          <w:p>
            <w:pPr>
              <w:pStyle w:val="11"/>
              <w:tabs>
                <w:tab w:val="left" w:pos="1568"/>
              </w:tabs>
              <w:spacing w:line="242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</w:p>
          <w:p>
            <w:pPr>
              <w:pStyle w:val="11"/>
              <w:tabs>
                <w:tab w:val="left" w:pos="1568"/>
              </w:tabs>
              <w:spacing w:line="242" w:lineRule="auto"/>
              <w:rPr>
                <w:rFonts w:hint="eastAsia" w:eastAsia="宋体"/>
                <w:lang w:eastAsia="zh-CN"/>
              </w:rPr>
            </w:pPr>
          </w:p>
          <w:p>
            <w:pPr>
              <w:pStyle w:val="11"/>
              <w:spacing w:line="242" w:lineRule="auto"/>
            </w:pPr>
          </w:p>
          <w:p>
            <w:pPr>
              <w:pStyle w:val="11"/>
              <w:spacing w:line="242" w:lineRule="auto"/>
            </w:pPr>
          </w:p>
          <w:p>
            <w:pPr>
              <w:spacing w:before="78" w:line="241" w:lineRule="auto"/>
              <w:ind w:right="511" w:firstLine="5852" w:firstLineChars="2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before="78" w:line="241" w:lineRule="auto"/>
              <w:ind w:right="511" w:firstLine="5640" w:firstLineChars="30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26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26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1873" w:type="dxa"/>
            <w:vAlign w:val="top"/>
          </w:tcPr>
          <w:p>
            <w:pPr>
              <w:spacing w:before="309" w:line="265" w:lineRule="auto"/>
              <w:ind w:left="287" w:hanging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“十四五”全国自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然资源调查监</w:t>
            </w:r>
          </w:p>
          <w:p>
            <w:pPr>
              <w:spacing w:before="30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测劳动和技能</w:t>
            </w:r>
          </w:p>
          <w:p>
            <w:pPr>
              <w:spacing w:before="84" w:line="264" w:lineRule="auto"/>
              <w:ind w:left="325" w:righ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竞赛委员会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办公室意见</w:t>
            </w:r>
          </w:p>
        </w:tc>
        <w:tc>
          <w:tcPr>
            <w:tcW w:w="7456" w:type="dxa"/>
            <w:vAlign w:val="top"/>
          </w:tcPr>
          <w:p>
            <w:pPr>
              <w:pStyle w:val="11"/>
              <w:spacing w:line="256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spacing w:before="78" w:line="213" w:lineRule="auto"/>
              <w:ind w:right="511" w:firstLine="5852" w:firstLineChars="2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before="78" w:line="213" w:lineRule="auto"/>
              <w:ind w:right="511" w:firstLine="5640" w:firstLineChars="30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1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10" w:h="16850"/>
      <w:pgMar w:top="1432" w:right="1675" w:bottom="1778" w:left="1475" w:header="0" w:footer="15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PMingLiU">
    <w:altName w:val="Droid Sans Fallback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B5B8C91"/>
    <w:rsid w:val="1EEE05D5"/>
    <w:rsid w:val="2CFF356A"/>
    <w:rsid w:val="3BD8AF38"/>
    <w:rsid w:val="6CF7CDBE"/>
    <w:rsid w:val="7FDFDC69"/>
    <w:rsid w:val="CF3DBDA9"/>
    <w:rsid w:val="CFE615D3"/>
    <w:rsid w:val="E6BF76D5"/>
    <w:rsid w:val="F5E73787"/>
    <w:rsid w:val="F6FD8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footnote text"/>
    <w:basedOn w:val="1"/>
    <w:qFormat/>
    <w:uiPriority w:val="0"/>
    <w:pPr>
      <w:widowControl w:val="0"/>
    </w:pPr>
    <w:rPr>
      <w:rFonts w:ascii="Times New Roman" w:hAnsi="Times New Roman" w:eastAsia="PMingLiU" w:cs="Arial"/>
      <w:color w:val="000000"/>
      <w:kern w:val="2"/>
      <w:sz w:val="18"/>
      <w:szCs w:val="24"/>
      <w:lang w:val="en-US" w:eastAsia="zh-CN" w:bidi="ar-SA"/>
    </w:rPr>
  </w:style>
  <w:style w:type="paragraph" w:styleId="5">
    <w:name w:val="Body Text First Indent"/>
    <w:basedOn w:val="6"/>
    <w:next w:val="6"/>
    <w:qFormat/>
    <w:uiPriority w:val="99"/>
    <w:pPr>
      <w:spacing w:after="120"/>
      <w:ind w:firstLine="420" w:firstLineChars="100"/>
      <w:jc w:val="both"/>
    </w:pPr>
    <w:rPr>
      <w:sz w:val="21"/>
    </w:rPr>
  </w:style>
  <w:style w:type="paragraph" w:styleId="6">
    <w:name w:val="Body Text"/>
    <w:basedOn w:val="1"/>
    <w:next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2024-12-28T08:52:00Z</dcterms:created>
  <dc:creator>Kingsoft-PDF</dc:creator>
  <cp:lastModifiedBy>ht706</cp:lastModifiedBy>
  <dcterms:modified xsi:type="dcterms:W3CDTF">2024-12-30T16:03:40Z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2024-12-27T08:52:16Z</vt:filetime>
  </property>
  <property fmtid="{D5CDD505-2E9C-101B-9397-08002B2CF9AE}" pid="4" name="UsrData">
    <vt:lpwstr>676dfa3ce9f72c001fe5d1fbwl</vt:lpwstr>
  </property>
  <property fmtid="{D5CDD505-2E9C-101B-9397-08002B2CF9AE}" pid="5" name="KSOProductBuildVer">
    <vt:lpwstr>2052-11.8.2.10386</vt:lpwstr>
  </property>
</Properties>
</file>