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国标黑体" w:hAnsi="国标黑体" w:eastAsia="国标黑体" w:cs="国标黑体"/>
          <w:sz w:val="32"/>
          <w:szCs w:val="32"/>
          <w:highlight w:val="none"/>
          <w:lang w:val="en-US" w:eastAsia="zh-CN"/>
        </w:rPr>
      </w:pPr>
      <w:r>
        <w:rPr>
          <w:rFonts w:hint="eastAsia" w:ascii="国标黑体" w:hAnsi="国标黑体" w:eastAsia="国标黑体" w:cs="国标黑体"/>
          <w:sz w:val="32"/>
          <w:szCs w:val="32"/>
          <w:highlight w:val="none"/>
          <w:lang w:val="en-US" w:eastAsia="zh-CN"/>
        </w:rPr>
        <w:t>附件2</w:t>
      </w:r>
    </w:p>
    <w:p>
      <w:pPr>
        <w:snapToGrid w:val="0"/>
        <w:jc w:val="center"/>
        <w:rPr>
          <w:rFonts w:hint="eastAsia" w:ascii="Times New Roman" w:hAnsi="Times New Roman" w:eastAsia="FZXiaoBiaoSong-B05" w:cs="Times New Roman"/>
          <w:sz w:val="44"/>
          <w:szCs w:val="44"/>
          <w:highlight w:val="none"/>
          <w:lang w:val="en-US" w:eastAsia="zh-CN"/>
        </w:rPr>
      </w:pPr>
    </w:p>
    <w:p>
      <w:pPr>
        <w:bidi w:val="0"/>
        <w:jc w:val="center"/>
        <w:outlineLvl w:val="0"/>
        <w:rPr>
          <w:rFonts w:hint="eastAsia" w:ascii="FZXiaoBiaoSong-B05" w:hAnsi="FZXiaoBiaoSong-B05" w:eastAsia="FZXiaoBiaoSong-B05" w:cs="FZXiaoBiaoSong-B05"/>
          <w:sz w:val="44"/>
          <w:szCs w:val="44"/>
          <w:lang w:val="en-US" w:eastAsia="zh-CN"/>
        </w:rPr>
      </w:pPr>
      <w:bookmarkStart w:id="0" w:name="_Toc8185"/>
      <w:bookmarkStart w:id="1" w:name="_Toc30807"/>
      <w:bookmarkStart w:id="2" w:name="_Toc28936"/>
      <w:bookmarkStart w:id="3" w:name="_Toc5502"/>
      <w:r>
        <w:rPr>
          <w:rFonts w:hint="eastAsia" w:ascii="FZXiaoBiaoSong-B05" w:hAnsi="FZXiaoBiaoSong-B05" w:eastAsia="FZXiaoBiaoSong-B05" w:cs="FZXiaoBiaoSong-B05"/>
          <w:sz w:val="44"/>
          <w:szCs w:val="44"/>
          <w:lang w:val="en-US" w:eastAsia="zh-CN"/>
        </w:rPr>
        <w:t>宁夏城乡社区公共服务设施配置规划指引</w:t>
      </w:r>
      <w:bookmarkEnd w:id="0"/>
      <w:bookmarkEnd w:id="1"/>
      <w:bookmarkEnd w:id="2"/>
      <w:bookmarkEnd w:id="3"/>
    </w:p>
    <w:p>
      <w:pPr>
        <w:bidi w:val="0"/>
        <w:jc w:val="center"/>
        <w:outlineLvl w:val="0"/>
        <w:rPr>
          <w:rFonts w:hint="eastAsia" w:ascii="黑体" w:hAnsi="黑体" w:eastAsia="黑体" w:cs="黑体"/>
          <w:sz w:val="44"/>
          <w:szCs w:val="44"/>
          <w:lang w:val="en-US" w:eastAsia="zh-CN"/>
        </w:rPr>
      </w:pPr>
      <w:bookmarkStart w:id="4" w:name="_Toc3869"/>
      <w:bookmarkStart w:id="5" w:name="_Toc789"/>
      <w:r>
        <w:rPr>
          <w:rFonts w:hint="eastAsia" w:ascii="FZXiaoBiaoSong-B05" w:hAnsi="FZXiaoBiaoSong-B05" w:eastAsia="FZXiaoBiaoSong-B05" w:cs="FZXiaoBiaoSong-B05"/>
          <w:sz w:val="44"/>
          <w:szCs w:val="44"/>
          <w:lang w:val="en-US" w:eastAsia="zh-CN"/>
        </w:rPr>
        <w:t>（修订）</w:t>
      </w:r>
      <w:bookmarkEnd w:id="4"/>
      <w:bookmarkEnd w:id="5"/>
      <w:r>
        <w:rPr>
          <w:rFonts w:hint="eastAsia" w:ascii="FZXiaoBiaoSong-B05" w:hAnsi="FZXiaoBiaoSong-B05" w:eastAsia="FZXiaoBiaoSong-B05" w:cs="FZXiaoBiaoSong-B05"/>
          <w:sz w:val="44"/>
          <w:szCs w:val="44"/>
          <w:lang w:val="en-US" w:eastAsia="zh-CN"/>
        </w:rPr>
        <w:t>（征求意见稿）</w:t>
      </w:r>
    </w:p>
    <w:p>
      <w:pPr>
        <w:bidi w:val="0"/>
        <w:jc w:val="center"/>
        <w:outlineLvl w:val="0"/>
        <w:rPr>
          <w:rFonts w:hint="eastAsia" w:ascii="黑体" w:hAnsi="黑体" w:eastAsia="黑体" w:cs="黑体"/>
          <w:sz w:val="44"/>
          <w:szCs w:val="44"/>
          <w:lang w:val="en-US" w:eastAsia="zh-CN"/>
        </w:rPr>
      </w:pPr>
    </w:p>
    <w:p>
      <w:pPr>
        <w:bidi w:val="0"/>
        <w:jc w:val="center"/>
        <w:outlineLvl w:val="9"/>
        <w:rPr>
          <w:rFonts w:hint="eastAsia" w:ascii="黑体" w:hAnsi="黑体" w:eastAsia="黑体" w:cs="黑体"/>
          <w:sz w:val="36"/>
          <w:szCs w:val="36"/>
          <w:lang w:val="en-US" w:eastAsia="zh-CN"/>
        </w:rPr>
      </w:pPr>
    </w:p>
    <w:p>
      <w:pPr>
        <w:bidi w:val="0"/>
        <w:jc w:val="center"/>
        <w:outlineLvl w:val="9"/>
        <w:rPr>
          <w:rFonts w:hint="eastAsia" w:ascii="FZXiaoBiaoSong-B05" w:hAnsi="FZXiaoBiaoSong-B05" w:eastAsia="FZXiaoBiaoSong-B05" w:cs="FZXiaoBiaoSong-B05"/>
          <w:sz w:val="44"/>
          <w:szCs w:val="44"/>
          <w:lang w:val="en-US" w:eastAsia="zh-CN"/>
        </w:rPr>
      </w:pPr>
      <w:bookmarkStart w:id="6" w:name="_Toc17996"/>
      <w:r>
        <w:rPr>
          <w:rFonts w:hint="eastAsia" w:ascii="FZXiaoBiaoSong-B05" w:hAnsi="FZXiaoBiaoSong-B05" w:eastAsia="FZXiaoBiaoSong-B05" w:cs="FZXiaoBiaoSong-B05"/>
          <w:sz w:val="44"/>
          <w:szCs w:val="44"/>
          <w:lang w:val="en-US" w:eastAsia="zh-CN"/>
        </w:rPr>
        <w:t>修订说明</w:t>
      </w:r>
      <w:bookmarkEnd w:id="6"/>
    </w:p>
    <w:p>
      <w:pPr>
        <w:bidi w:val="0"/>
        <w:jc w:val="center"/>
        <w:outlineLvl w:val="9"/>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eastAsia="黑体"/>
          <w:color w:val="000000"/>
          <w:szCs w:val="28"/>
        </w:rPr>
      </w:pPr>
      <w:r>
        <w:rPr>
          <w:rFonts w:hint="eastAsia" w:eastAsia="黑体"/>
          <w:color w:val="000000"/>
          <w:szCs w:val="28"/>
        </w:rPr>
        <w:t>宁夏回族自治区自然资源厅</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ascii="楷体" w:hAnsi="楷体" w:eastAsia="楷体" w:cs="楷体"/>
          <w:color w:val="auto"/>
          <w:sz w:val="36"/>
          <w:szCs w:val="36"/>
          <w:highlight w:val="none"/>
          <w:lang w:val="en-US" w:eastAsia="zh-CN"/>
        </w:rPr>
      </w:pPr>
      <w:r>
        <w:rPr>
          <w:rFonts w:hint="eastAsia" w:eastAsia="黑体"/>
          <w:color w:val="000000"/>
          <w:szCs w:val="28"/>
        </w:rPr>
        <w:t>二〇二</w:t>
      </w:r>
      <w:r>
        <w:rPr>
          <w:rFonts w:hint="eastAsia" w:eastAsia="黑体"/>
          <w:color w:val="000000"/>
          <w:szCs w:val="28"/>
          <w:lang w:eastAsia="zh-CN"/>
        </w:rPr>
        <w:t>五</w:t>
      </w:r>
      <w:r>
        <w:rPr>
          <w:rFonts w:hint="eastAsia" w:eastAsia="黑体"/>
          <w:color w:val="000000"/>
          <w:szCs w:val="28"/>
        </w:rPr>
        <w:t>年</w:t>
      </w:r>
      <w:r>
        <w:rPr>
          <w:rFonts w:hint="eastAsia" w:eastAsia="黑体"/>
          <w:color w:val="000000"/>
          <w:szCs w:val="28"/>
          <w:lang w:eastAsia="zh-CN"/>
        </w:rPr>
        <w:t>九</w:t>
      </w:r>
      <w:r>
        <w:rPr>
          <w:rFonts w:hint="eastAsia" w:eastAsia="黑体"/>
          <w:color w:val="000000"/>
          <w:szCs w:val="28"/>
        </w:rPr>
        <w:t>月</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ascii="楷体" w:hAnsi="楷体" w:eastAsia="楷体" w:cs="楷体"/>
          <w:color w:val="auto"/>
          <w:sz w:val="36"/>
          <w:szCs w:val="36"/>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outlineLvl w:val="0"/>
        <w:rPr>
          <w:rFonts w:ascii="FZHei-B01" w:hAnsi="FZHei-B01" w:eastAsia="FZHei-B01" w:cs="FZHei-B01"/>
          <w:szCs w:val="32"/>
          <w14:ligatures w14:val="none"/>
        </w:rPr>
      </w:pPr>
      <w:bookmarkStart w:id="7" w:name="_Toc182561430"/>
      <w:bookmarkStart w:id="8" w:name="_Toc14564"/>
      <w:bookmarkStart w:id="9" w:name="_Toc4139"/>
      <w:bookmarkStart w:id="10" w:name="_Toc10450"/>
      <w:bookmarkStart w:id="11" w:name="_Toc16171"/>
      <w:r>
        <w:rPr>
          <w:rFonts w:hint="eastAsia" w:ascii="FZHei-B01" w:hAnsi="FZHei-B01" w:eastAsia="FZHei-B01" w:cs="FZHei-B01"/>
          <w:szCs w:val="32"/>
          <w14:ligatures w14:val="none"/>
        </w:rPr>
        <w:t>修订背景</w:t>
      </w:r>
      <w:bookmarkEnd w:id="7"/>
    </w:p>
    <w:bookmarkEnd w:id="8"/>
    <w:bookmarkEnd w:id="9"/>
    <w:bookmarkEnd w:id="10"/>
    <w:bookmarkEnd w:id="11"/>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9"/>
        <w:rPr>
          <w:rFonts w:hint="eastAsia" w:ascii="仿宋" w:hAnsi="仿宋" w:eastAsia="仿宋" w:cs="仿宋"/>
          <w:sz w:val="32"/>
          <w:lang w:val="en-US" w:eastAsia="zh-CN"/>
        </w:rPr>
      </w:pPr>
      <w:bookmarkStart w:id="12" w:name="OLE_LINK4"/>
      <w:r>
        <w:rPr>
          <w:rFonts w:hint="eastAsia" w:ascii="仿宋" w:hAnsi="仿宋" w:eastAsia="仿宋" w:cs="仿宋"/>
          <w:sz w:val="32"/>
          <w:lang w:val="en-US" w:eastAsia="zh-CN"/>
        </w:rPr>
        <w:t>2019年中共中央、国务院印发《关于建立国土空间规划体系并监督实施的若干意见》，明确提出要完善法规政策和技术标准体系，提高规划编制水平，保障国土空间规划有效实施。2021年自然资源部、国家标准化管理委员会印发《国土空间规划标准体系建设三年行动计划（2025—2027年）》，提出要发挥地方专业技术力量，统筹开展国土空间规划标准制定。鼓励省、市自然资源部门依据国家标准、行业标准，结合当地实际，制定具有地方特色的技术标准。2023年自然资源部印发《关于加强国土空间详细规划工作的通知》，提出要结合城市更新和新城建设实际，因地制宜制定或修订基础设施、公共服务设施和日照、间距等地方性规划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2021年以来，自然资源部陆续印发《社区生活圈规划技术指南》《国土空间规划城市设计指南》等技术标准，提出以常住人口为基础，针对后疫情时代实际服务人口的全面发展需求，因地制宜优化功能布局，提高城市服务功能的均衡性、可达性和便利性。要补齐就近就业和教育、健康、养老等公共服务设施短板，完善慢行系统和社区公共休闲空间布局，提升生态、安全和数字化等新型基础设施配置水平。各地可结合实际，聚焦城市更新、乡村振兴等工作按照“多规合一”的要求，因地制宜细化《指南》的规划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9"/>
        <w:rPr>
          <w:rFonts w:hint="eastAsia" w:ascii="仿宋" w:hAnsi="仿宋" w:eastAsia="仿宋" w:cs="仿宋"/>
          <w:sz w:val="32"/>
          <w:highlight w:val="yellow"/>
          <w:lang w:val="en-US" w:eastAsia="zh-CN"/>
        </w:rPr>
      </w:pPr>
      <w:r>
        <w:rPr>
          <w:rFonts w:hint="eastAsia" w:ascii="仿宋" w:hAnsi="仿宋" w:eastAsia="仿宋" w:cs="仿宋"/>
          <w:sz w:val="32"/>
          <w:lang w:val="en-US" w:eastAsia="zh-CN"/>
        </w:rPr>
        <w:t>2016年宁夏印发《宁夏城乡社区公共服务设施配置规划指引（试行）》（下文简称《指引》），但随着人民对美好生活的需求的日益增长，原指引已经不能适应新时代城乡社区公共服务设施建设的相关要求，为贯彻落实国务院关于建设现代化人民城市、统筹推进新型城镇化和乡村全面振兴的有关部署，坚持以人民为中心的发展思想，强化规划指引，全面推进城乡社区公共服务设施配套标准化，满足人民群众对美好生活的需求，在当前国土空间规划体系构建日益完善的背景下，结合我区实际对《宁夏城乡社区公共服务设施配置规划指引（试行）》进行修订</w:t>
      </w:r>
      <w:r>
        <w:rPr>
          <w:rFonts w:hint="eastAsia" w:ascii="仿宋" w:hAnsi="仿宋" w:eastAsia="仿宋" w:cs="仿宋"/>
          <w:sz w:val="32"/>
          <w:highlight w:val="none"/>
          <w:lang w:val="en-US" w:eastAsia="zh-CN"/>
        </w:rPr>
        <w:t>。</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0" w:afterAutospacing="0" w:line="600" w:lineRule="exact"/>
        <w:ind w:left="0" w:leftChars="0" w:firstLine="642" w:firstLineChars="200"/>
        <w:textAlignment w:val="auto"/>
        <w:outlineLvl w:val="0"/>
        <w:rPr>
          <w:rFonts w:hint="eastAsia" w:ascii="黑体" w:hAnsi="黑体" w:eastAsia="黑体" w:cs="黑体"/>
          <w:sz w:val="32"/>
          <w:lang w:val="en-US" w:eastAsia="zh-CN"/>
        </w:rPr>
      </w:pPr>
      <w:r>
        <w:rPr>
          <w:rFonts w:hint="eastAsia" w:ascii="黑体" w:hAnsi="黑体" w:eastAsia="黑体" w:cs="黑体"/>
          <w:sz w:val="32"/>
          <w:lang w:val="en-US" w:eastAsia="zh-CN"/>
        </w:rPr>
        <w:t>修订过程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自治区自然资源厅于2024年5月启动《宁夏城乡社区公共服务设施配置规划指引（试行）》修订工作。修订过程中，相关部门和社会组织积极参与修订工作，并提供相关研究资料。课题研究小组多次分批开展实地调研、居民访问、部门座谈会，充分听取修订意见和建议，形成初稿后，组织开展成果审查、市县意见征求和相关专家论证工作，形成了《宁夏城乡社区公共服务设施配置规划指引》（修订）（征求意见稿）和《宁夏城乡社区公共服务设施配置规划指引》（修订）（征求意见稿）</w:t>
      </w:r>
      <w:bookmarkStart w:id="140" w:name="_GoBack"/>
      <w:bookmarkEnd w:id="140"/>
      <w:r>
        <w:rPr>
          <w:rFonts w:hint="eastAsia" w:ascii="仿宋" w:hAnsi="仿宋" w:eastAsia="仿宋" w:cs="仿宋"/>
          <w:sz w:val="32"/>
          <w:lang w:val="en-US" w:eastAsia="zh-CN"/>
        </w:rPr>
        <w:t>修订说明。</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0" w:afterAutospacing="0" w:line="600" w:lineRule="exact"/>
        <w:ind w:left="0" w:leftChars="0" w:firstLine="670" w:firstLineChars="200"/>
        <w:textAlignment w:val="auto"/>
        <w:outlineLvl w:val="0"/>
        <w:rPr>
          <w:rFonts w:hint="eastAsia" w:ascii="黑体" w:hAnsi="黑体" w:eastAsia="黑体" w:cs="黑体"/>
          <w:b/>
          <w:bCs/>
          <w:snapToGrid w:val="0"/>
          <w:color w:val="000000"/>
          <w:spacing w:val="7"/>
          <w:sz w:val="32"/>
          <w:szCs w:val="32"/>
          <w:lang w:val="en-US" w:eastAsia="zh-CN" w:bidi="ar-SA"/>
        </w:rPr>
      </w:pPr>
      <w:bookmarkStart w:id="13" w:name="_Toc26402"/>
      <w:bookmarkStart w:id="14" w:name="_Toc3428"/>
      <w:bookmarkStart w:id="15" w:name="_Toc21629"/>
      <w:bookmarkStart w:id="16" w:name="_Toc26208"/>
      <w:bookmarkStart w:id="17" w:name="_Toc19645"/>
      <w:bookmarkStart w:id="18" w:name="_Toc22334"/>
      <w:bookmarkStart w:id="19" w:name="_Toc8837"/>
      <w:r>
        <w:rPr>
          <w:rFonts w:hint="eastAsia" w:ascii="黑体" w:hAnsi="黑体" w:eastAsia="黑体" w:cs="黑体"/>
          <w:b/>
          <w:bCs/>
          <w:snapToGrid w:val="0"/>
          <w:color w:val="000000"/>
          <w:spacing w:val="7"/>
          <w:sz w:val="32"/>
          <w:szCs w:val="32"/>
          <w:lang w:val="en-US" w:eastAsia="zh-CN" w:bidi="ar-SA"/>
        </w:rPr>
        <w:t>修订情况</w:t>
      </w:r>
      <w:bookmarkEnd w:id="13"/>
      <w:bookmarkEnd w:id="14"/>
      <w:bookmarkEnd w:id="15"/>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9"/>
        <w:rPr>
          <w:rFonts w:hint="eastAsia" w:ascii="仿宋" w:hAnsi="仿宋" w:eastAsia="仿宋" w:cs="仿宋"/>
          <w:sz w:val="32"/>
          <w:lang w:val="en-US" w:eastAsia="zh-CN"/>
        </w:rPr>
      </w:pPr>
      <w:r>
        <w:rPr>
          <w:rFonts w:hint="eastAsia" w:ascii="仿宋" w:hAnsi="仿宋" w:eastAsia="仿宋" w:cs="仿宋"/>
          <w:sz w:val="32"/>
          <w:szCs w:val="32"/>
          <w:lang w:eastAsia="zh-CN"/>
          <w14:ligatures w14:val="none"/>
        </w:rPr>
        <w:t>《指引》原文</w:t>
      </w:r>
      <w:r>
        <w:rPr>
          <w:rFonts w:hint="eastAsia" w:ascii="仿宋" w:hAnsi="仿宋" w:eastAsia="仿宋" w:cs="仿宋"/>
          <w:sz w:val="32"/>
          <w:szCs w:val="32"/>
          <w14:ligatures w14:val="none"/>
        </w:rPr>
        <w:t>共</w:t>
      </w:r>
      <w:r>
        <w:rPr>
          <w:rFonts w:hint="eastAsia" w:ascii="仿宋" w:hAnsi="仿宋" w:eastAsia="仿宋" w:cs="仿宋"/>
          <w:sz w:val="32"/>
          <w:szCs w:val="32"/>
          <w:lang w:val="en-US" w:eastAsia="zh-CN"/>
          <w14:ligatures w14:val="none"/>
        </w:rPr>
        <w:t>5</w:t>
      </w:r>
      <w:r>
        <w:rPr>
          <w:rFonts w:hint="eastAsia" w:ascii="仿宋" w:hAnsi="仿宋" w:eastAsia="仿宋" w:cs="仿宋"/>
          <w:sz w:val="32"/>
          <w:szCs w:val="32"/>
          <w14:ligatures w14:val="none"/>
        </w:rPr>
        <w:t>章</w:t>
      </w:r>
      <w:r>
        <w:rPr>
          <w:rFonts w:hint="eastAsia" w:ascii="仿宋" w:hAnsi="仿宋" w:eastAsia="仿宋" w:cs="仿宋"/>
          <w:sz w:val="32"/>
          <w:lang w:val="en-US" w:eastAsia="zh-CN"/>
        </w:rPr>
        <w:t>45</w:t>
      </w:r>
      <w:r>
        <w:rPr>
          <w:rFonts w:hint="eastAsia" w:ascii="仿宋" w:hAnsi="仿宋" w:eastAsia="仿宋" w:cs="仿宋"/>
          <w:sz w:val="32"/>
          <w:szCs w:val="32"/>
          <w:lang w:val="en-US" w:eastAsia="zh-CN"/>
          <w14:ligatures w14:val="none"/>
        </w:rPr>
        <w:t>条</w:t>
      </w:r>
      <w:r>
        <w:rPr>
          <w:rFonts w:hint="eastAsia" w:ascii="仿宋" w:hAnsi="仿宋" w:eastAsia="仿宋" w:cs="仿宋"/>
          <w:sz w:val="32"/>
          <w:szCs w:val="32"/>
          <w14:ligatures w14:val="none"/>
        </w:rPr>
        <w:t>，包括总则</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城市社区</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小城镇社区</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农村社区</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术语和用词说明。本次修订</w:t>
      </w:r>
      <w:r>
        <w:rPr>
          <w:rFonts w:hint="eastAsia" w:ascii="仿宋" w:hAnsi="仿宋" w:eastAsia="仿宋" w:cs="仿宋"/>
          <w:sz w:val="32"/>
          <w:szCs w:val="32"/>
          <w:lang w:eastAsia="zh-CN"/>
          <w14:ligatures w14:val="none"/>
        </w:rPr>
        <w:t>对章节框架和条文内容均进行了调整，</w:t>
      </w:r>
      <w:r>
        <w:rPr>
          <w:rFonts w:hint="eastAsia" w:ascii="仿宋" w:hAnsi="仿宋" w:eastAsia="仿宋" w:cs="仿宋"/>
          <w:sz w:val="32"/>
          <w:szCs w:val="32"/>
          <w14:ligatures w14:val="none"/>
        </w:rPr>
        <w:t>修订后标准</w:t>
      </w:r>
      <w:r>
        <w:rPr>
          <w:rFonts w:hint="eastAsia" w:ascii="仿宋" w:hAnsi="仿宋" w:eastAsia="仿宋" w:cs="仿宋"/>
          <w:color w:val="auto"/>
          <w:sz w:val="32"/>
          <w:szCs w:val="32"/>
          <w:lang w:eastAsia="zh-CN"/>
          <w14:ligatures w14:val="none"/>
        </w:rPr>
        <w:t>共</w:t>
      </w:r>
      <w:r>
        <w:rPr>
          <w:rFonts w:hint="eastAsia" w:ascii="仿宋" w:hAnsi="仿宋" w:eastAsia="仿宋" w:cs="仿宋"/>
          <w:color w:val="auto"/>
          <w:sz w:val="32"/>
          <w:szCs w:val="32"/>
          <w:lang w:val="en-US" w:eastAsia="zh-CN"/>
          <w14:ligatures w14:val="none"/>
        </w:rPr>
        <w:t>4</w:t>
      </w:r>
      <w:r>
        <w:rPr>
          <w:rFonts w:hint="eastAsia" w:ascii="仿宋" w:hAnsi="仿宋" w:eastAsia="仿宋" w:cs="仿宋"/>
          <w:color w:val="auto"/>
          <w:sz w:val="32"/>
          <w:szCs w:val="32"/>
          <w14:ligatures w14:val="none"/>
        </w:rPr>
        <w:t>章</w:t>
      </w:r>
      <w:r>
        <w:rPr>
          <w:rFonts w:hint="eastAsia" w:ascii="仿宋" w:hAnsi="仿宋" w:eastAsia="仿宋" w:cs="仿宋"/>
          <w:color w:val="auto"/>
          <w:sz w:val="32"/>
          <w:szCs w:val="32"/>
          <w:lang w:val="en-US" w:eastAsia="zh-CN"/>
          <w14:ligatures w14:val="none"/>
        </w:rPr>
        <w:t>34</w:t>
      </w:r>
      <w:r>
        <w:rPr>
          <w:rFonts w:hint="eastAsia" w:ascii="仿宋" w:hAnsi="仿宋" w:eastAsia="仿宋" w:cs="仿宋"/>
          <w:color w:val="auto"/>
          <w:sz w:val="32"/>
          <w:szCs w:val="32"/>
          <w14:ligatures w14:val="none"/>
        </w:rPr>
        <w:t>条</w:t>
      </w:r>
      <w:r>
        <w:rPr>
          <w:rFonts w:hint="eastAsia" w:ascii="仿宋" w:hAnsi="仿宋" w:eastAsia="仿宋" w:cs="仿宋"/>
          <w:sz w:val="32"/>
          <w:szCs w:val="32"/>
          <w14:ligatures w14:val="none"/>
        </w:rPr>
        <w:t>，</w:t>
      </w:r>
      <w:r>
        <w:rPr>
          <w:rFonts w:hint="eastAsia" w:ascii="仿宋" w:hAnsi="仿宋" w:eastAsia="仿宋" w:cs="仿宋"/>
          <w:sz w:val="32"/>
          <w:szCs w:val="32"/>
          <w:lang w:eastAsia="zh-CN"/>
          <w14:ligatures w14:val="none"/>
        </w:rPr>
        <w:t>包括</w:t>
      </w:r>
      <w:r>
        <w:rPr>
          <w:rFonts w:hint="eastAsia" w:ascii="仿宋" w:hAnsi="仿宋" w:eastAsia="仿宋" w:cs="仿宋"/>
          <w:sz w:val="32"/>
          <w:lang w:val="en-US" w:eastAsia="zh-CN"/>
        </w:rPr>
        <w:t>总则、术语、城镇社区、乡村社区。</w:t>
      </w:r>
    </w:p>
    <w:p>
      <w:pPr>
        <w:keepNext w:val="0"/>
        <w:keepLines w:val="0"/>
        <w:pageBreakBefore w:val="0"/>
        <w:widowControl w:val="0"/>
        <w:kinsoku/>
        <w:wordWrap/>
        <w:overflowPunct/>
        <w:topLinePunct w:val="0"/>
        <w:autoSpaceDE/>
        <w:autoSpaceDN/>
        <w:bidi w:val="0"/>
        <w:spacing w:beforeAutospacing="0" w:afterAutospacing="0" w:line="600" w:lineRule="exact"/>
        <w:ind w:firstLine="640"/>
        <w:textAlignment w:val="auto"/>
        <w:outlineLvl w:val="9"/>
        <w:rPr>
          <w:rFonts w:hint="default" w:ascii="仿宋" w:hAnsi="仿宋" w:eastAsia="仿宋" w:cs="仿宋"/>
          <w:kern w:val="2"/>
          <w:sz w:val="32"/>
          <w:szCs w:val="32"/>
          <w:lang w:val="en-US" w:eastAsia="zh-CN" w:bidi="ar-SA"/>
          <w14:ligatures w14:val="none"/>
        </w:rPr>
      </w:pPr>
      <w:r>
        <w:rPr>
          <w:rFonts w:hint="eastAsia" w:ascii="仿宋" w:hAnsi="仿宋" w:eastAsia="仿宋" w:cs="仿宋"/>
          <w:sz w:val="32"/>
          <w:szCs w:val="32"/>
          <w:lang w:eastAsia="zh-CN"/>
          <w14:ligatures w14:val="none"/>
        </w:rPr>
        <w:t>章节框架方面，</w:t>
      </w:r>
      <w:r>
        <w:rPr>
          <w:rFonts w:hint="eastAsia" w:ascii="仿宋" w:hAnsi="仿宋" w:eastAsia="仿宋" w:cs="仿宋"/>
          <w:sz w:val="32"/>
          <w:szCs w:val="32"/>
          <w:lang w:val="en-US" w:eastAsia="zh-CN"/>
          <w14:ligatures w14:val="none"/>
        </w:rPr>
        <w:t>删除原指引中“小城镇社区”一章内容；将原指引第五章“</w:t>
      </w:r>
      <w:r>
        <w:rPr>
          <w:rFonts w:hint="eastAsia" w:ascii="仿宋" w:hAnsi="仿宋" w:eastAsia="仿宋" w:cs="仿宋"/>
          <w:sz w:val="32"/>
          <w:szCs w:val="32"/>
          <w14:ligatures w14:val="none"/>
        </w:rPr>
        <w:t>术语和用词说明</w:t>
      </w:r>
      <w:r>
        <w:rPr>
          <w:rFonts w:hint="eastAsia" w:ascii="仿宋" w:hAnsi="仿宋" w:eastAsia="仿宋" w:cs="仿宋"/>
          <w:sz w:val="32"/>
          <w:szCs w:val="32"/>
          <w:lang w:val="en-US" w:eastAsia="zh-CN"/>
          <w14:ligatures w14:val="none"/>
        </w:rPr>
        <w:t>”</w:t>
      </w:r>
      <w:r>
        <w:rPr>
          <w:rFonts w:hint="eastAsia" w:ascii="仿宋" w:hAnsi="仿宋" w:eastAsia="仿宋" w:cs="仿宋"/>
          <w:kern w:val="2"/>
          <w:sz w:val="32"/>
          <w:szCs w:val="32"/>
          <w:lang w:val="en-US" w:eastAsia="zh-CN" w:bidi="ar-SA"/>
          <w14:ligatures w14:val="none"/>
        </w:rPr>
        <w:t>调整至第二章。</w:t>
      </w:r>
    </w:p>
    <w:p>
      <w:pPr>
        <w:keepNext w:val="0"/>
        <w:keepLines w:val="0"/>
        <w:pageBreakBefore w:val="0"/>
        <w:widowControl w:val="0"/>
        <w:kinsoku/>
        <w:wordWrap/>
        <w:overflowPunct/>
        <w:topLinePunct w:val="0"/>
        <w:autoSpaceDE/>
        <w:autoSpaceDN/>
        <w:bidi w:val="0"/>
        <w:spacing w:beforeAutospacing="0" w:afterAutospacing="0" w:line="600" w:lineRule="exact"/>
        <w:ind w:firstLine="640"/>
        <w:textAlignment w:val="auto"/>
        <w:outlineLvl w:val="9"/>
        <w:rPr>
          <w:rFonts w:hint="eastAsia" w:ascii="仿宋" w:hAnsi="仿宋" w:eastAsia="仿宋" w:cs="仿宋"/>
          <w:sz w:val="32"/>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sz w:val="32"/>
          <w:szCs w:val="32"/>
          <w:lang w:eastAsia="zh-CN"/>
          <w14:ligatures w14:val="none"/>
        </w:rPr>
        <w:t>条文内容方面，本次修订</w:t>
      </w:r>
      <w:r>
        <w:rPr>
          <w:rFonts w:hint="eastAsia" w:ascii="仿宋" w:hAnsi="仿宋" w:eastAsia="仿宋" w:cs="仿宋"/>
          <w:sz w:val="32"/>
          <w:lang w:val="en-US" w:eastAsia="zh-CN"/>
        </w:rPr>
        <w:t>修改32条、删除13条</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新增</w:t>
      </w:r>
      <w:r>
        <w:rPr>
          <w:rFonts w:hint="eastAsia" w:ascii="仿宋" w:hAnsi="仿宋" w:eastAsia="仿宋" w:cs="仿宋"/>
          <w:sz w:val="32"/>
          <w:szCs w:val="32"/>
          <w:lang w:val="en-US" w:eastAsia="zh-CN"/>
          <w14:ligatures w14:val="none"/>
        </w:rPr>
        <w:t>1条，新增条文</w:t>
      </w:r>
      <w:r>
        <w:rPr>
          <w:rFonts w:hint="eastAsia" w:ascii="仿宋" w:hAnsi="仿宋" w:eastAsia="仿宋" w:cs="仿宋"/>
          <w:sz w:val="32"/>
          <w:szCs w:val="32"/>
          <w14:ligatures w14:val="none"/>
        </w:rPr>
        <w:t>主要</w:t>
      </w:r>
      <w:r>
        <w:rPr>
          <w:rFonts w:hint="eastAsia" w:ascii="仿宋" w:hAnsi="仿宋" w:eastAsia="仿宋" w:cs="仿宋"/>
          <w:sz w:val="32"/>
          <w:szCs w:val="32"/>
          <w:lang w:eastAsia="zh-CN"/>
          <w14:ligatures w14:val="none"/>
        </w:rPr>
        <w:t>是对城市更新项目涉及公共服务设施的配建提出要求。</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left"/>
        <w:textAlignment w:val="auto"/>
        <w:rPr>
          <w:rFonts w:hint="default" w:cs="Times New Roman"/>
          <w:lang w:val="en-US" w:eastAsia="zh-CN"/>
        </w:rPr>
      </w:pPr>
    </w:p>
    <w:p>
      <w:pPr>
        <w:bidi w:val="0"/>
        <w:jc w:val="center"/>
        <w:rPr>
          <w:rFonts w:hint="eastAsia" w:ascii="FZXiaoBiaoSong-B05S" w:hAnsi="FZXiaoBiaoSong-B05S" w:eastAsia="FZXiaoBiaoSong-B05S" w:cs="FZXiaoBiaoSong-B05S"/>
          <w:b/>
          <w:bCs/>
          <w:snapToGrid w:val="0"/>
          <w:color w:val="auto"/>
          <w:spacing w:val="-2"/>
          <w:kern w:val="0"/>
          <w:sz w:val="44"/>
          <w:szCs w:val="32"/>
          <w:lang w:val="en-US" w:eastAsia="zh-CN"/>
        </w:rPr>
      </w:pPr>
      <w:r>
        <w:rPr>
          <w:rFonts w:hint="eastAsia" w:ascii="FZXiaoBiaoSong-B05S" w:hAnsi="FZXiaoBiaoSong-B05S" w:eastAsia="FZXiaoBiaoSong-B05S" w:cs="FZXiaoBiaoSong-B05S"/>
          <w:sz w:val="44"/>
          <w:lang w:val="en-US" w:eastAsia="zh-CN"/>
        </w:rPr>
        <w:t>修改前后对比说明一览表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1"/>
        <w:gridCol w:w="4243"/>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2178" w:type="pct"/>
            <w:noWrap w:val="0"/>
            <w:vAlign w:val="center"/>
          </w:tcPr>
          <w:p>
            <w:pPr>
              <w:pStyle w:val="15"/>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imes New Roman" w:hAnsi="Times New Roman" w:eastAsia="宋体" w:cs="Times New Roman"/>
                <w:b/>
                <w:bCs/>
                <w:sz w:val="21"/>
                <w:szCs w:val="21"/>
                <w:highlight w:val="none"/>
                <w:lang w:val="en-US" w:eastAsia="zh-CN"/>
                <w14:ligatures w14:val="standardContextual"/>
              </w:rPr>
            </w:pPr>
            <w:r>
              <w:rPr>
                <w:rFonts w:hint="eastAsia" w:ascii="Times New Roman" w:hAnsi="Times New Roman" w:eastAsia="宋体" w:cs="Times New Roman"/>
                <w:b/>
                <w:bCs/>
                <w:sz w:val="21"/>
                <w:szCs w:val="21"/>
                <w:highlight w:val="none"/>
                <w:lang w:val="en-US" w:eastAsia="zh-CN"/>
                <w14:ligatures w14:val="standardContextual"/>
              </w:rPr>
              <w:t>修订内容</w:t>
            </w:r>
          </w:p>
          <w:p>
            <w:pPr>
              <w:pStyle w:val="15"/>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imes New Roman" w:hAnsi="Times New Roman" w:eastAsia="宋体" w:cs="Times New Roman"/>
                <w:b/>
                <w:bCs/>
                <w:sz w:val="21"/>
                <w:szCs w:val="21"/>
                <w:highlight w:val="none"/>
                <w:lang w:val="en-US" w:eastAsia="zh-CN"/>
                <w14:ligatures w14:val="standardContextual"/>
              </w:rPr>
            </w:pPr>
            <w:r>
              <w:rPr>
                <w:rFonts w:hint="eastAsia" w:ascii="Times New Roman" w:hAnsi="Times New Roman" w:eastAsia="宋体" w:cs="Times New Roman"/>
                <w:b/>
                <w:bCs/>
                <w:sz w:val="21"/>
                <w:szCs w:val="21"/>
                <w:highlight w:val="none"/>
                <w:lang w:val="en-US" w:eastAsia="zh-CN"/>
                <w14:ligatures w14:val="standardContextual"/>
              </w:rPr>
              <w:t>（红色字样为增加或修订内容）</w:t>
            </w:r>
          </w:p>
        </w:tc>
        <w:tc>
          <w:tcPr>
            <w:tcW w:w="1510" w:type="pct"/>
            <w:noWrap w:val="0"/>
            <w:vAlign w:val="center"/>
          </w:tcPr>
          <w:p>
            <w:pPr>
              <w:pStyle w:val="15"/>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imes New Roman" w:hAnsi="Times New Roman" w:eastAsia="宋体" w:cs="Times New Roman"/>
                <w:b/>
                <w:bCs/>
                <w:sz w:val="21"/>
                <w:szCs w:val="21"/>
                <w:highlight w:val="none"/>
                <w:lang w:val="en-US" w:eastAsia="zh-CN"/>
                <w14:ligatures w14:val="standardContextual"/>
              </w:rPr>
            </w:pPr>
            <w:r>
              <w:rPr>
                <w:rFonts w:hint="eastAsia" w:ascii="Times New Roman" w:hAnsi="Times New Roman" w:eastAsia="宋体" w:cs="Times New Roman"/>
                <w:b/>
                <w:bCs/>
                <w:sz w:val="21"/>
                <w:szCs w:val="21"/>
                <w:highlight w:val="none"/>
                <w:lang w:val="en-US" w:eastAsia="zh-CN"/>
                <w14:ligatures w14:val="standardContextual"/>
              </w:rPr>
              <w:t>原指引内容</w:t>
            </w:r>
          </w:p>
        </w:tc>
        <w:tc>
          <w:tcPr>
            <w:tcW w:w="1311" w:type="pct"/>
            <w:noWrap w:val="0"/>
            <w:vAlign w:val="center"/>
          </w:tcPr>
          <w:p>
            <w:pPr>
              <w:pStyle w:val="15"/>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imes New Roman" w:hAnsi="Times New Roman" w:eastAsia="宋体" w:cs="Times New Roman"/>
                <w:b/>
                <w:bCs/>
                <w:sz w:val="21"/>
                <w:szCs w:val="21"/>
                <w:highlight w:val="none"/>
                <w:lang w:val="en-US" w:eastAsia="zh-CN"/>
                <w14:ligatures w14:val="standardContextual"/>
              </w:rPr>
            </w:pPr>
            <w:r>
              <w:rPr>
                <w:rFonts w:hint="eastAsia" w:ascii="Times New Roman" w:hAnsi="Times New Roman" w:eastAsia="宋体" w:cs="Times New Roman"/>
                <w:b/>
                <w:bCs/>
                <w:sz w:val="21"/>
                <w:szCs w:val="21"/>
                <w:highlight w:val="none"/>
                <w:lang w:val="en-US" w:eastAsia="zh-CN"/>
                <w14:ligatures w14:val="standardContextual"/>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1.总则</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1.1目的</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rPr>
              <w:t>为了全面推进城乡</w:t>
            </w:r>
            <w:r>
              <w:rPr>
                <w:rFonts w:hint="eastAsia" w:ascii="FZFangSong-Z02" w:hAnsi="FZFangSong-Z02" w:eastAsia="FZFangSong-Z02" w:cs="FZFangSong-Z02"/>
                <w:b w:val="0"/>
                <w:bCs w:val="0"/>
                <w:color w:val="FF0000"/>
                <w:sz w:val="28"/>
                <w:szCs w:val="28"/>
                <w:highlight w:val="none"/>
              </w:rPr>
              <w:t>融合</w:t>
            </w:r>
            <w:r>
              <w:rPr>
                <w:rFonts w:hint="eastAsia" w:ascii="FZFangSong-Z02" w:hAnsi="FZFangSong-Z02" w:eastAsia="FZFangSong-Z02" w:cs="FZFangSong-Z02"/>
                <w:b w:val="0"/>
                <w:bCs w:val="0"/>
                <w:sz w:val="28"/>
                <w:szCs w:val="28"/>
                <w:highlight w:val="none"/>
              </w:rPr>
              <w:t>发展，实现城乡基本公共服务均等化，满足城乡居民日益提高的物质和精神文化需求，确保城乡公共服务设施配置更加科学、均衡、完善，进一步改善民生，促进社会和谐，建设宜居城乡社区，提高</w:t>
            </w:r>
            <w:r>
              <w:rPr>
                <w:rFonts w:hint="eastAsia" w:ascii="FZFangSong-Z02" w:hAnsi="FZFangSong-Z02" w:eastAsia="FZFangSong-Z02" w:cs="FZFangSong-Z02"/>
                <w:b w:val="0"/>
                <w:bCs w:val="0"/>
                <w:color w:val="FF0000"/>
                <w:sz w:val="28"/>
                <w:szCs w:val="28"/>
                <w:highlight w:val="none"/>
              </w:rPr>
              <w:t>国土空间规划</w:t>
            </w:r>
            <w:r>
              <w:rPr>
                <w:rFonts w:hint="eastAsia" w:ascii="FZFangSong-Z02" w:hAnsi="FZFangSong-Z02" w:eastAsia="FZFangSong-Z02" w:cs="FZFangSong-Z02"/>
                <w:b w:val="0"/>
                <w:bCs w:val="0"/>
                <w:sz w:val="28"/>
                <w:szCs w:val="28"/>
                <w:highlight w:val="none"/>
              </w:rPr>
              <w:t>编制和管理的标准化、规范化水平，依据国家及自治区相关标准、规范，结合我区实际和发展需要，</w:t>
            </w:r>
            <w:r>
              <w:rPr>
                <w:rFonts w:hint="eastAsia" w:ascii="FZFangSong-Z02" w:hAnsi="FZFangSong-Z02" w:eastAsia="FZFangSong-Z02" w:cs="FZFangSong-Z02"/>
                <w:b w:val="0"/>
                <w:bCs w:val="0"/>
                <w:color w:val="FF0000"/>
                <w:sz w:val="28"/>
                <w:szCs w:val="28"/>
                <w:highlight w:val="none"/>
              </w:rPr>
              <w:t>修订</w:t>
            </w:r>
            <w:r>
              <w:rPr>
                <w:rFonts w:hint="eastAsia" w:ascii="FZFangSong-Z02" w:hAnsi="FZFangSong-Z02" w:eastAsia="FZFangSong-Z02" w:cs="FZFangSong-Z02"/>
                <w:b w:val="0"/>
                <w:bCs w:val="0"/>
                <w:sz w:val="28"/>
                <w:szCs w:val="28"/>
                <w:highlight w:val="none"/>
              </w:rPr>
              <w:t>《宁夏回族自治区城乡社区公共服务设施配置规划指引</w:t>
            </w:r>
            <w:r>
              <w:rPr>
                <w:rFonts w:hint="eastAsia" w:ascii="FZFangSong-Z02" w:hAnsi="FZFangSong-Z02" w:eastAsia="FZFangSong-Z02" w:cs="FZFangSong-Z02"/>
                <w:b w:val="0"/>
                <w:bCs w:val="0"/>
                <w:sz w:val="28"/>
                <w:szCs w:val="28"/>
                <w:highlight w:val="none"/>
                <w:lang w:eastAsia="zh-CN"/>
              </w:rPr>
              <w:t>（</w:t>
            </w:r>
            <w:r>
              <w:rPr>
                <w:rFonts w:hint="eastAsia" w:ascii="FZFangSong-Z02" w:hAnsi="FZFangSong-Z02" w:eastAsia="FZFangSong-Z02" w:cs="FZFangSong-Z02"/>
                <w:b w:val="0"/>
                <w:bCs w:val="0"/>
                <w:sz w:val="28"/>
                <w:szCs w:val="28"/>
                <w:highlight w:val="none"/>
              </w:rPr>
              <w:t>试行</w:t>
            </w:r>
            <w:r>
              <w:rPr>
                <w:rFonts w:hint="eastAsia" w:ascii="FZFangSong-Z02" w:hAnsi="FZFangSong-Z02" w:eastAsia="FZFangSong-Z02" w:cs="FZFangSong-Z02"/>
                <w:b w:val="0"/>
                <w:bCs w:val="0"/>
                <w:sz w:val="28"/>
                <w:szCs w:val="28"/>
                <w:highlight w:val="none"/>
                <w:lang w:eastAsia="zh-CN"/>
              </w:rPr>
              <w:t>）</w:t>
            </w:r>
            <w:r>
              <w:rPr>
                <w:rFonts w:hint="eastAsia" w:ascii="FZFangSong-Z02" w:hAnsi="FZFangSong-Z02" w:eastAsia="FZFangSong-Z02" w:cs="FZFangSong-Z02"/>
                <w:b w:val="0"/>
                <w:bCs w:val="0"/>
                <w:sz w:val="28"/>
                <w:szCs w:val="28"/>
                <w:highlight w:val="none"/>
              </w:rPr>
              <w:t>》</w:t>
            </w:r>
            <w:r>
              <w:rPr>
                <w:rFonts w:hint="eastAsia" w:ascii="FZFangSong-Z02" w:hAnsi="FZFangSong-Z02" w:eastAsia="FZFangSong-Z02" w:cs="FZFangSong-Z02"/>
                <w:b w:val="0"/>
                <w:bCs w:val="0"/>
                <w:sz w:val="28"/>
                <w:szCs w:val="28"/>
                <w:highlight w:val="none"/>
                <w:lang w:eastAsia="zh-CN"/>
              </w:rPr>
              <w:t>（</w:t>
            </w:r>
            <w:r>
              <w:rPr>
                <w:rFonts w:hint="eastAsia" w:ascii="FZFangSong-Z02" w:hAnsi="FZFangSong-Z02" w:eastAsia="FZFangSong-Z02" w:cs="FZFangSong-Z02"/>
                <w:b w:val="0"/>
                <w:bCs w:val="0"/>
                <w:sz w:val="28"/>
                <w:szCs w:val="28"/>
                <w:highlight w:val="none"/>
              </w:rPr>
              <w:t>以下简称指引</w:t>
            </w:r>
            <w:r>
              <w:rPr>
                <w:rFonts w:hint="eastAsia" w:ascii="FZFangSong-Z02" w:hAnsi="FZFangSong-Z02" w:eastAsia="FZFangSong-Z02" w:cs="FZFangSong-Z02"/>
                <w:b w:val="0"/>
                <w:bCs w:val="0"/>
                <w:sz w:val="28"/>
                <w:szCs w:val="28"/>
                <w:highlight w:val="none"/>
                <w:lang w:eastAsia="zh-CN"/>
              </w:rPr>
              <w:t>）</w:t>
            </w:r>
            <w:r>
              <w:rPr>
                <w:rFonts w:hint="eastAsia" w:ascii="FZFangSong-Z02" w:hAnsi="FZFangSong-Z02" w:eastAsia="FZFangSong-Z02" w:cs="FZFangSong-Z02"/>
                <w:b w:val="0"/>
                <w:bCs w:val="0"/>
                <w:sz w:val="28"/>
                <w:szCs w:val="28"/>
                <w:highlight w:val="none"/>
              </w:rPr>
              <w:t>。</w:t>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1.1为了全面推进城乡统筹发展，实现城乡基本公共服务均等化，满足城乡居民日益提高的物质和精神文化需求，确保城乡公共服务设施配置更加科学、均衡、完善，进一步改善民生，促进社会和谐，建设宜居城乡社区，提高城乡规划编制和管理的标准化、规范化水平，依据国家及自治区相关标准、规范，结合我区实际和发展需要，特制定《宁夏回族自治区城乡社区公共服务设施配置规划指引（试行）》（以下简称指引）。</w:t>
            </w:r>
          </w:p>
        </w:tc>
        <w:tc>
          <w:tcPr>
            <w:tcW w:w="1311"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bCs/>
                <w:sz w:val="28"/>
                <w:szCs w:val="28"/>
                <w:highlight w:val="none"/>
                <w:lang w:val="en-US" w:eastAsia="zh-CN"/>
              </w:rPr>
            </w:pPr>
            <w:r>
              <w:rPr>
                <w:rFonts w:hint="eastAsia" w:ascii="FZFangSong-Z02" w:hAnsi="FZFangSong-Z02" w:eastAsia="FZFangSong-Z02" w:cs="FZFangSong-Z02"/>
                <w:b/>
                <w:bCs/>
                <w:sz w:val="28"/>
                <w:szCs w:val="28"/>
                <w:highlight w:val="none"/>
                <w:lang w:val="en-US" w:eastAsia="zh-CN"/>
              </w:rPr>
              <w:t>【调整条文】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结合最新文件提法，修改部分表述：将“城乡统筹发展”修改为“城乡融合发展”；“城乡规划”修改为“国土空间规划”；“制定”修改为“修订”。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1.2.依据</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本指引以《中华人民共和国城乡规划法》</w:t>
            </w:r>
            <w:r>
              <w:rPr>
                <w:rFonts w:hint="eastAsia" w:ascii="FZFangSong-Z02" w:hAnsi="FZFangSong-Z02" w:eastAsia="FZFangSong-Z02" w:cs="FZFangSong-Z02"/>
                <w:b w:val="0"/>
                <w:bCs w:val="0"/>
                <w:color w:val="FF0000"/>
                <w:sz w:val="28"/>
                <w:szCs w:val="28"/>
                <w:highlight w:val="none"/>
                <w:lang w:val="en-US" w:eastAsia="zh-CN"/>
              </w:rPr>
              <w:t>《中华人民共和国土地管理法》《宁夏回族自治区国土空间规划条例》《城市公共服务设施规划标准》《城市居住区规划设计标准》《社区生活圈规划技术指南》《宁夏回族自治区市县国土空间总体规划编制指南》《宁夏回族自治区乡镇国土空间总体规划编制指南（试行）》《宁夏回族自治区城镇开发边界内详细规划编制指南（试行）》《宁夏回族自治区村庄规划编制指南》等国家、自治区相关法律法规和技术规范为依据，结合宁夏回族自治区当前发展实际和未来发展趋势，</w:t>
            </w:r>
            <w:r>
              <w:rPr>
                <w:rFonts w:hint="eastAsia" w:ascii="FZFangSong-Z02" w:hAnsi="FZFangSong-Z02" w:eastAsia="FZFangSong-Z02" w:cs="FZFangSong-Z02"/>
                <w:b w:val="0"/>
                <w:bCs w:val="0"/>
                <w:sz w:val="28"/>
                <w:szCs w:val="28"/>
                <w:highlight w:val="none"/>
                <w:lang w:val="en-US" w:eastAsia="zh-CN"/>
              </w:rPr>
              <w:t>参照同类地区的技术标准与准则制定。</w:t>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1.2本指引以《中华人民共和国城乡规划法》《宁夏回族自治区村庄建设规划编制导则》等国家、区、市相关法律法规及其各相关部门的技术标准规范为依据，按照宁夏城乡统筹发展的目标和要求，参照同类地区的技术标准与准则，与宁夏经济社会发展水平相适应而制定。</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311"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bCs/>
                <w:sz w:val="28"/>
                <w:szCs w:val="28"/>
                <w:highlight w:val="none"/>
                <w:lang w:val="en-US" w:eastAsia="zh-CN"/>
              </w:rPr>
            </w:pPr>
            <w:r>
              <w:rPr>
                <w:rFonts w:hint="eastAsia" w:ascii="FZFangSong-Z02" w:hAnsi="FZFangSong-Z02" w:eastAsia="FZFangSong-Z02" w:cs="FZFangSong-Z02"/>
                <w:b/>
                <w:bCs/>
                <w:sz w:val="28"/>
                <w:szCs w:val="28"/>
                <w:highlight w:val="none"/>
                <w:lang w:val="en-US" w:eastAsia="zh-CN"/>
              </w:rPr>
              <w:t>【调整条文】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1.在原指引基础上，增加了国土空间规划和社区公共服务设施相关法律法规、标准规范。</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default"/>
                <w:highlight w:val="none"/>
                <w:lang w:val="en-US" w:eastAsia="zh-CN"/>
              </w:rPr>
            </w:pPr>
            <w:r>
              <w:rPr>
                <w:rFonts w:hint="eastAsia" w:ascii="FZFangSong-Z02" w:hAnsi="FZFangSong-Z02" w:eastAsia="FZFangSong-Z02" w:cs="FZFangSong-Z02"/>
                <w:b w:val="0"/>
                <w:bCs w:val="0"/>
                <w:sz w:val="28"/>
                <w:szCs w:val="28"/>
                <w:highlight w:val="none"/>
                <w:lang w:val="en-US" w:eastAsia="zh-CN"/>
              </w:rPr>
              <w:t>2.删除《宁夏回族自治区村庄建设规划编制导则》。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1.3适用范围</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本指引适用于我</w:t>
            </w:r>
            <w:r>
              <w:rPr>
                <w:rFonts w:hint="eastAsia" w:ascii="FZFangSong-Z02" w:hAnsi="FZFangSong-Z02" w:eastAsia="FZFangSong-Z02" w:cs="FZFangSong-Z02"/>
                <w:b w:val="0"/>
                <w:bCs w:val="0"/>
                <w:color w:val="FF0000"/>
                <w:sz w:val="28"/>
                <w:szCs w:val="28"/>
                <w:highlight w:val="none"/>
                <w:lang w:val="en-US" w:eastAsia="zh-CN"/>
              </w:rPr>
              <w:t>区内城镇社区和乡村社区</w:t>
            </w:r>
            <w:r>
              <w:rPr>
                <w:rFonts w:hint="eastAsia" w:ascii="FZFangSong-Z02" w:hAnsi="FZFangSong-Z02" w:eastAsia="FZFangSong-Z02" w:cs="FZFangSong-Z02"/>
                <w:b w:val="0"/>
                <w:bCs w:val="0"/>
                <w:sz w:val="28"/>
                <w:szCs w:val="28"/>
                <w:highlight w:val="none"/>
                <w:lang w:val="en-US" w:eastAsia="zh-CN"/>
              </w:rPr>
              <w:t>公共服务设施的规划、设计、建设和管理。</w:t>
            </w:r>
            <w:r>
              <w:rPr>
                <w:rFonts w:hint="eastAsia" w:ascii="FZFangSong-Z02" w:hAnsi="FZFangSong-Z02" w:eastAsia="FZFangSong-Z02" w:cs="FZFangSong-Z02"/>
                <w:b w:val="0"/>
                <w:bCs w:val="0"/>
                <w:color w:val="FF0000"/>
                <w:sz w:val="28"/>
                <w:szCs w:val="28"/>
                <w:highlight w:val="none"/>
                <w:lang w:val="en-US" w:eastAsia="zh-CN"/>
              </w:rPr>
              <w:t>城市特殊功能区域，如风景名胜区、保税港区、开发区等的相关内容，另行规定。</w:t>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1.3本指引适用于我区各市各城市社区、小城镇社区和农村社区公共服务设施的规划、设计、建设和管理。对城市旧区的更新改造，可依据本指引的基本原则和要求，进行必要的调整，以确保配套公共服务设施规划切实可行，并达到应有的标准和服务水平。</w:t>
            </w:r>
            <w:r>
              <w:rPr>
                <w:rFonts w:hint="eastAsia" w:ascii="FZFangSong-Z02" w:hAnsi="FZFangSong-Z02" w:eastAsia="FZFangSong-Z02" w:cs="FZFangSong-Z02"/>
                <w:b/>
                <w:bCs/>
                <w:color w:val="auto"/>
                <w:sz w:val="28"/>
                <w:szCs w:val="28"/>
                <w:highlight w:val="none"/>
                <w:lang w:val="en-US" w:eastAsia="zh-CN"/>
              </w:rPr>
              <w:t>对现状小城镇社区和农村社区的更新改造，可参照本指引优化和完善基本公共服务设施配套，提高配套标准和服务水平。</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1.7城市特殊功能区域，如风景名胜区、保税港区、高新技术产业开发区等的相关内容，另行规定。</w:t>
            </w:r>
          </w:p>
        </w:tc>
        <w:tc>
          <w:tcPr>
            <w:tcW w:w="1311" w:type="pct"/>
            <w:noWrap w:val="0"/>
            <w:vAlign w:val="center"/>
          </w:tcPr>
          <w:p>
            <w:pPr>
              <w:pStyle w:val="14"/>
              <w:topLinePunct/>
              <w:spacing w:line="300" w:lineRule="exact"/>
              <w:jc w:val="both"/>
              <w:rPr>
                <w:rFonts w:hint="eastAsia" w:ascii="FZFangSong-Z02" w:hAnsi="FZFangSong-Z02" w:eastAsia="FZFangSong-Z02" w:cs="FZFangSong-Z02"/>
                <w:b/>
                <w:bCs/>
                <w:color w:val="auto"/>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numPr>
                <w:ilvl w:val="0"/>
                <w:numId w:val="3"/>
              </w:numPr>
              <w:topLinePunct/>
              <w:spacing w:line="300" w:lineRule="exact"/>
              <w:jc w:val="both"/>
              <w:rPr>
                <w:rFonts w:hint="eastAsia" w:ascii="FZFangSong-Z02" w:hAnsi="FZFangSong-Z02" w:eastAsia="FZFangSong-Z02" w:cs="FZFangSong-Z02"/>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依据《社区生活圈规划技术指南》，将“城市社区、小城镇社区和农村社区”修改为“城镇社区和乡村社区”。</w:t>
            </w:r>
          </w:p>
          <w:p>
            <w:pPr>
              <w:pStyle w:val="14"/>
              <w:keepNext w:val="0"/>
              <w:keepLines w:val="0"/>
              <w:pageBreakBefore w:val="0"/>
              <w:widowControl w:val="0"/>
              <w:numPr>
                <w:ilvl w:val="0"/>
                <w:numId w:val="3"/>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将原指引“1.7城市特殊功能区域，如风景名胜区、保税港区、高新技术产业开发区等的相关内容，另行规定”合并至“1.3适用范围”中。将“高新技术产业开发区”修改为“开发区”。</w:t>
            </w:r>
          </w:p>
          <w:p>
            <w:pPr>
              <w:pStyle w:val="14"/>
              <w:keepNext w:val="0"/>
              <w:keepLines w:val="0"/>
              <w:pageBreakBefore w:val="0"/>
              <w:widowControl w:val="0"/>
              <w:numPr>
                <w:ilvl w:val="0"/>
                <w:numId w:val="3"/>
              </w:numPr>
              <w:kinsoku/>
              <w:wordWrap/>
              <w:overflowPunct/>
              <w:topLinePunct/>
              <w:autoSpaceDE/>
              <w:autoSpaceDN/>
              <w:bidi w:val="0"/>
              <w:adjustRightInd/>
              <w:snapToGrid/>
              <w:spacing w:line="300" w:lineRule="exact"/>
              <w:ind w:left="0" w:leftChars="0" w:firstLine="0" w:firstLineChars="0"/>
              <w:jc w:val="both"/>
              <w:textAlignment w:val="auto"/>
              <w:rPr>
                <w:rFonts w:hint="default"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对涉及现状设施更新改造的，将相关内容统一在1.9城市更新配置要求中表述。</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ind w:leftChars="0"/>
              <w:jc w:val="both"/>
              <w:textAlignment w:val="auto"/>
              <w:rPr>
                <w:rFonts w:hint="eastAsia" w:ascii="FZFangSong-Z02" w:hAnsi="FZFangSong-Z02" w:eastAsia="FZFangSong-Z02" w:cs="FZFangSong-Z02"/>
                <w:b w:val="0"/>
                <w:bCs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1.4本指引随着我区经济社会的发展和城乡建设的需要，可适时进行调整、补充和完善。</w:t>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1.4本指引随着我区经济社会的发展和城乡规划建设的需要，可适时进行调整、补充和完善。</w:t>
            </w:r>
          </w:p>
        </w:tc>
        <w:tc>
          <w:tcPr>
            <w:tcW w:w="1311" w:type="pct"/>
            <w:noWrap w:val="0"/>
            <w:vAlign w:val="center"/>
          </w:tcPr>
          <w:p>
            <w:pPr>
              <w:pStyle w:val="14"/>
              <w:topLinePunct/>
              <w:spacing w:line="300" w:lineRule="exact"/>
              <w:jc w:val="both"/>
              <w:rPr>
                <w:rFonts w:hint="eastAsia" w:ascii="FZFangSong-Z02" w:hAnsi="FZFangSong-Z02" w:eastAsia="FZFangSong-Z02" w:cs="FZFangSong-Z02"/>
                <w:b/>
                <w:bCs/>
                <w:color w:val="auto"/>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将“城乡规划建设”修改为“城乡建设”。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1.5配置原则</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城乡社区公共服务设施的配置</w:t>
            </w:r>
            <w:r>
              <w:rPr>
                <w:rFonts w:hint="eastAsia" w:ascii="FZFangSong-Z02" w:hAnsi="FZFangSong-Z02" w:eastAsia="FZFangSong-Z02" w:cs="FZFangSong-Z02"/>
                <w:b w:val="0"/>
                <w:bCs w:val="0"/>
                <w:color w:val="FF0000"/>
                <w:sz w:val="28"/>
                <w:szCs w:val="28"/>
                <w:highlight w:val="none"/>
                <w:lang w:val="en-US" w:eastAsia="zh-CN"/>
              </w:rPr>
              <w:t>应遵循以人为本、科学系统、安全可靠、因地制宜、节约集约、资源共享</w:t>
            </w:r>
            <w:r>
              <w:rPr>
                <w:rFonts w:hint="eastAsia" w:ascii="FZFangSong-Z02" w:hAnsi="FZFangSong-Z02" w:eastAsia="FZFangSong-Z02" w:cs="FZFangSong-Z02"/>
                <w:b w:val="0"/>
                <w:bCs w:val="0"/>
                <w:sz w:val="28"/>
                <w:szCs w:val="28"/>
                <w:highlight w:val="none"/>
                <w:lang w:val="en-US" w:eastAsia="zh-CN"/>
              </w:rPr>
              <w:t>的原则。</w:t>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1.5城乡社区公共服务设施的配置与相关规划，应遵循科学、系统、兼容、创新、继承、适度超前的原则。</w:t>
            </w:r>
          </w:p>
        </w:tc>
        <w:tc>
          <w:tcPr>
            <w:tcW w:w="1311" w:type="pct"/>
            <w:noWrap w:val="0"/>
            <w:vAlign w:val="center"/>
          </w:tcPr>
          <w:p>
            <w:pPr>
              <w:pStyle w:val="14"/>
              <w:topLinePunct/>
              <w:spacing w:line="300" w:lineRule="exact"/>
              <w:jc w:val="both"/>
              <w:rPr>
                <w:rFonts w:hint="eastAsia" w:ascii="FZFangSong-Z02" w:hAnsi="FZFangSong-Z02" w:eastAsia="FZFangSong-Z02" w:cs="FZFangSong-Z02"/>
                <w:b/>
                <w:bCs/>
                <w:color w:val="auto"/>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topLinePunct/>
              <w:spacing w:line="300" w:lineRule="exact"/>
              <w:jc w:val="both"/>
              <w:rPr>
                <w:rFonts w:hint="eastAsia" w:ascii="FZFangSong-Z02" w:hAnsi="FZFangSong-Z02" w:eastAsia="FZFangSong-Z02" w:cs="FZFangSong-Z02"/>
                <w:b/>
                <w:bCs/>
                <w:color w:val="auto"/>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依据《社区生活圈规划技术指南》，参考</w:t>
            </w:r>
            <w:r>
              <w:rPr>
                <w:rFonts w:hint="eastAsia" w:ascii="FZFangSong-Z02" w:hAnsi="FZFangSong-Z02" w:eastAsia="FZFangSong-Z02" w:cs="FZFangSong-Z02"/>
                <w:b w:val="0"/>
                <w:bCs w:val="0"/>
                <w:color w:val="auto"/>
                <w:sz w:val="28"/>
                <w:szCs w:val="28"/>
                <w:highlight w:val="none"/>
                <w:lang w:val="en-US" w:eastAsia="zh-CN"/>
              </w:rPr>
              <w:t>《长沙市居住公共服务设施配置规定》，在</w:t>
            </w:r>
            <w:r>
              <w:rPr>
                <w:rFonts w:hint="eastAsia" w:ascii="FZFangSong-Z02" w:hAnsi="FZFangSong-Z02" w:eastAsia="FZFangSong-Z02" w:cs="FZFangSong-Z02"/>
                <w:b w:val="0"/>
                <w:bCs w:val="0"/>
                <w:sz w:val="28"/>
                <w:szCs w:val="28"/>
                <w:highlight w:val="none"/>
                <w:lang w:val="en-US" w:eastAsia="zh-CN"/>
              </w:rPr>
              <w:t>配置原则中</w:t>
            </w:r>
            <w:r>
              <w:rPr>
                <w:rFonts w:hint="eastAsia" w:ascii="FZFangSong-Z02" w:hAnsi="FZFangSong-Z02" w:eastAsia="FZFangSong-Z02" w:cs="FZFangSong-Z02"/>
                <w:b w:val="0"/>
                <w:bCs w:val="0"/>
                <w:color w:val="auto"/>
                <w:sz w:val="28"/>
                <w:szCs w:val="28"/>
                <w:highlight w:val="none"/>
                <w:lang w:val="en-US" w:eastAsia="zh-CN"/>
              </w:rPr>
              <w:t>增加安全、节约、共享等方面内容。</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bookmarkStart w:id="20" w:name="_Toc5073"/>
            <w:bookmarkStart w:id="21" w:name="_Toc28258"/>
            <w:bookmarkStart w:id="22" w:name="_Toc17744"/>
            <w:bookmarkStart w:id="23" w:name="_Toc573"/>
            <w:bookmarkStart w:id="24" w:name="_Toc12766"/>
            <w:bookmarkStart w:id="25" w:name="_Toc9859"/>
            <w:r>
              <w:rPr>
                <w:rFonts w:hint="eastAsia" w:ascii="FZFangSong-Z02" w:hAnsi="FZFangSong-Z02" w:eastAsia="FZFangSong-Z02" w:cs="FZFangSong-Z02"/>
                <w:b w:val="0"/>
                <w:bCs w:val="0"/>
                <w:sz w:val="28"/>
                <w:szCs w:val="28"/>
                <w:highlight w:val="none"/>
                <w:lang w:val="en-US" w:eastAsia="zh-CN"/>
              </w:rPr>
              <w:t>1.6设施分级</w:t>
            </w:r>
            <w:bookmarkEnd w:id="20"/>
            <w:bookmarkEnd w:id="21"/>
            <w:bookmarkEnd w:id="22"/>
            <w:bookmarkEnd w:id="23"/>
            <w:bookmarkEnd w:id="24"/>
            <w:bookmarkEnd w:id="25"/>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城乡社区公共服务设施划分为城镇社区公共服务设施和乡村社区公共服务设施。城镇社区公共服务设施分为15分钟社区生活圈公共服务设施、5～10分钟社区生活圈公共服务设施两个层级；乡村社区公共服务设施分为乡集镇社区生活圈公共服务设施和村（组）社区生活圈公共服务设施两个层级。</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2.1.2综合考虑建设规模以及投资、布局方式等，可将公共服务设施分为三级：居住区级、居住小区级、居住组团级。选址要求表内一般规模分别按3万人、1.0万人、0.1万人计算。</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topLinePunct/>
              <w:spacing w:line="300" w:lineRule="exact"/>
              <w:jc w:val="both"/>
              <w:rPr>
                <w:rFonts w:hint="eastAsia"/>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原指引只针对城市社区进行了分级，本次修订依据《社区生活圈规划技术指南》，按照城镇社区和乡村社区进行分级，将城镇社区公共服务设施的级别划分为15分钟社区生活圈公共服务设施、5～10分钟社区生活圈公共服务设施两个层级；乡村社区公共服务设施划分为乡集镇社区生活圈公共服务设施和村（组）社区生活圈公共服务设施两个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6"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bookmarkStart w:id="26" w:name="_Toc21059"/>
            <w:bookmarkStart w:id="27" w:name="_Toc10261"/>
            <w:bookmarkStart w:id="28" w:name="_Toc27013"/>
            <w:bookmarkStart w:id="29" w:name="_Toc22861"/>
            <w:bookmarkStart w:id="30" w:name="_Toc21355"/>
            <w:bookmarkStart w:id="31" w:name="_Toc4958"/>
            <w:r>
              <w:rPr>
                <w:rFonts w:hint="eastAsia" w:ascii="FZFangSong-Z02" w:hAnsi="FZFangSong-Z02" w:eastAsia="FZFangSong-Z02" w:cs="FZFangSong-Z02"/>
                <w:b w:val="0"/>
                <w:bCs w:val="0"/>
                <w:color w:val="auto"/>
                <w:sz w:val="28"/>
                <w:szCs w:val="28"/>
                <w:highlight w:val="none"/>
                <w:lang w:val="en-US" w:eastAsia="zh-CN"/>
              </w:rPr>
              <w:t>1.7设施分类</w:t>
            </w:r>
            <w:bookmarkEnd w:id="26"/>
            <w:bookmarkEnd w:id="27"/>
            <w:bookmarkEnd w:id="28"/>
            <w:bookmarkEnd w:id="29"/>
            <w:bookmarkEnd w:id="30"/>
            <w:bookmarkEnd w:id="31"/>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按照用地性质或使用功能，城乡社区公共服务设施分为七大类：行政管理与服务设施、教育设施、文化设施、体育设施、医疗卫生设施、社会福利与保障设施以及其他设施。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2.1.1按其用地性质或使用功能，本指引将居住区公共服务设施分为八类：（1）教育设施；（2）文化娱乐设施；（3）体育健身设施；（4）行政管理与社区服务设施；（5）社会福利与保障设施；（6）医疗卫生设施；（7）商业金融服务设施；（8）市政公用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3.1.2按照使用功能，小城镇社区基本公共服务设施分为七种：（1）行政管理服务设施；（2）教育设施；（3）医疗卫生设施；（4）社会福利与保障设施；（5）文化体育设施；（6）商业金融服务设施；（7）市政公用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4.1.4 按照使用功能，农村社区基本公共服务设施分为七种：(1）行政管理服务设施；(2）教育设施；(3）医疗卫生设施；(4）社会福利与保障设施；(5）文化体育设施；(6）商业金融服务设施；(7）市政公用设施。</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4"/>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结合原指引中的城市社区、小城镇社区、农村社区设施分类，在总则中总述城乡社区公共服务设施类型。</w:t>
            </w:r>
          </w:p>
          <w:p>
            <w:pPr>
              <w:pStyle w:val="14"/>
              <w:keepNext w:val="0"/>
              <w:keepLines w:val="0"/>
              <w:pageBreakBefore w:val="0"/>
              <w:widowControl w:val="0"/>
              <w:numPr>
                <w:ilvl w:val="0"/>
                <w:numId w:val="4"/>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对社区公共服务设施重新分类。</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ind w:firstLine="560" w:firstLineChars="20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按照《国土空间调查、规划、用途管制用地用海分类指南》，</w:t>
            </w:r>
            <w:r>
              <w:rPr>
                <w:rFonts w:hint="eastAsia" w:ascii="FZFangSong-Z02" w:hAnsi="FZFangSong-Z02" w:eastAsia="FZFangSong-Z02" w:cs="FZFangSong-Z02"/>
                <w:b w:val="0"/>
                <w:bCs w:val="0"/>
                <w:color w:val="auto"/>
                <w:sz w:val="28"/>
                <w:szCs w:val="28"/>
                <w:highlight w:val="none"/>
                <w:lang w:val="en-US" w:eastAsia="zh-CN"/>
              </w:rPr>
              <w:t>商业金融服务设施不属于公共服务设施，因此删除商业金融服务设施。</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ind w:firstLine="560" w:firstLineChars="20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根据《社区生活圈规划技术指南》，将“市政公用设施”合并至“其他设施”中；将“行政管理与社区服务设施”修改为“行政管理与服务设施”；将“文化娱乐设施”修改为“文化设施”；将“体育健身设施”修改为“体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sz w:val="28"/>
                <w:szCs w:val="28"/>
                <w:highlight w:val="none"/>
                <w:lang w:val="en-US" w:eastAsia="zh-CN"/>
              </w:rPr>
            </w:pPr>
            <w:bookmarkStart w:id="32" w:name="_Toc32606"/>
            <w:bookmarkStart w:id="33" w:name="_Toc19633"/>
            <w:bookmarkStart w:id="34" w:name="_Toc4202"/>
            <w:bookmarkStart w:id="35" w:name="_Toc21449"/>
            <w:bookmarkStart w:id="36" w:name="_Toc11996"/>
            <w:bookmarkStart w:id="37" w:name="_Toc6188"/>
            <w:bookmarkStart w:id="38" w:name="_Toc23877"/>
            <w:r>
              <w:rPr>
                <w:rFonts w:hint="eastAsia" w:ascii="FZFangSong-Z02" w:hAnsi="FZFangSong-Z02" w:eastAsia="FZFangSong-Z02" w:cs="FZFangSong-Z02"/>
                <w:b w:val="0"/>
                <w:bCs w:val="0"/>
                <w:sz w:val="28"/>
                <w:szCs w:val="28"/>
                <w:highlight w:val="none"/>
                <w:lang w:val="en-US" w:eastAsia="zh-CN"/>
              </w:rPr>
              <w:t>1.8</w:t>
            </w:r>
            <w:bookmarkEnd w:id="32"/>
            <w:bookmarkEnd w:id="33"/>
            <w:bookmarkEnd w:id="34"/>
            <w:bookmarkEnd w:id="35"/>
            <w:bookmarkEnd w:id="36"/>
            <w:bookmarkEnd w:id="37"/>
            <w:bookmarkEnd w:id="38"/>
            <w:r>
              <w:rPr>
                <w:rFonts w:hint="eastAsia" w:ascii="FZFangSong-Z02" w:hAnsi="FZFangSong-Z02" w:eastAsia="FZFangSong-Z02" w:cs="FZFangSong-Z02"/>
                <w:b w:val="0"/>
                <w:bCs w:val="0"/>
                <w:sz w:val="28"/>
                <w:szCs w:val="28"/>
                <w:highlight w:val="none"/>
                <w:lang w:val="en-US" w:eastAsia="zh-CN"/>
              </w:rPr>
              <w:t>指导性要求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本指引中涉及公共服务设施用地的内容或规定为指导性要求。在</w:t>
            </w:r>
            <w:r>
              <w:rPr>
                <w:rFonts w:hint="eastAsia" w:ascii="FZFangSong-Z02" w:hAnsi="FZFangSong-Z02" w:eastAsia="FZFangSong-Z02" w:cs="FZFangSong-Z02"/>
                <w:b w:val="0"/>
                <w:bCs w:val="0"/>
                <w:color w:val="FF0000"/>
                <w:sz w:val="28"/>
                <w:szCs w:val="28"/>
                <w:highlight w:val="none"/>
                <w:lang w:val="en-US" w:eastAsia="zh-CN"/>
              </w:rPr>
              <w:t>城乡社区</w:t>
            </w:r>
            <w:r>
              <w:rPr>
                <w:rFonts w:hint="eastAsia" w:ascii="FZFangSong-Z02" w:hAnsi="FZFangSong-Z02" w:eastAsia="FZFangSong-Z02" w:cs="FZFangSong-Z02"/>
                <w:b w:val="0"/>
                <w:bCs w:val="0"/>
                <w:sz w:val="28"/>
                <w:szCs w:val="28"/>
                <w:highlight w:val="none"/>
                <w:lang w:val="en-US" w:eastAsia="zh-CN"/>
              </w:rPr>
              <w:t>进行规划编制和管理除参照本指引外，应符合国家、自治区和市现行的有关法律法规及其强制性标准的规定。</w:t>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1.6本指引中涉及公共服务设施用地的内容或规定为指导性要求。在城市社区、小城镇社区和农村社区进行规划编制和管理除参照本指引外，应符合国家、自治区和市现行的有关法律法规及其强制性标准的规定。</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结合“1.3适用范围”修改，将“</w:t>
            </w:r>
            <w:r>
              <w:rPr>
                <w:rFonts w:hint="eastAsia" w:ascii="FZFangSong-Z02" w:hAnsi="FZFangSong-Z02" w:eastAsia="FZFangSong-Z02" w:cs="FZFangSong-Z02"/>
                <w:b w:val="0"/>
                <w:bCs w:val="0"/>
                <w:color w:val="auto"/>
                <w:sz w:val="28"/>
                <w:szCs w:val="28"/>
                <w:highlight w:val="none"/>
                <w:lang w:val="en-US" w:eastAsia="zh-CN"/>
              </w:rPr>
              <w:t>城市社区、小城镇社区和农村社区</w:t>
            </w:r>
            <w:r>
              <w:rPr>
                <w:rFonts w:hint="eastAsia" w:ascii="FZFangSong-Z02" w:hAnsi="FZFangSong-Z02" w:eastAsia="FZFangSong-Z02" w:cs="FZFangSong-Z02"/>
                <w:b w:val="0"/>
                <w:bCs w:val="0"/>
                <w:sz w:val="28"/>
                <w:szCs w:val="28"/>
                <w:highlight w:val="none"/>
                <w:lang w:val="en-US" w:eastAsia="zh-CN"/>
              </w:rPr>
              <w:t>”修改为“城乡社区”。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39" w:name="_Toc11559"/>
            <w:bookmarkStart w:id="40" w:name="_Toc10234"/>
            <w:r>
              <w:rPr>
                <w:rFonts w:hint="eastAsia" w:ascii="FZFangSong-Z02" w:hAnsi="FZFangSong-Z02" w:eastAsia="FZFangSong-Z02" w:cs="FZFangSong-Z02"/>
                <w:b w:val="0"/>
                <w:bCs w:val="0"/>
                <w:color w:val="FF0000"/>
                <w:sz w:val="28"/>
                <w:szCs w:val="28"/>
                <w:highlight w:val="none"/>
                <w:lang w:val="en-US" w:eastAsia="zh-CN"/>
              </w:rPr>
              <w:t>1.9城市更新配置要求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color w:val="FF0000"/>
                <w:sz w:val="28"/>
                <w:szCs w:val="28"/>
                <w:highlight w:val="none"/>
              </w:rPr>
              <w:t>在保障公共安全的前提下，尊重历史、因地制宜，城市更新</w:t>
            </w:r>
            <w:r>
              <w:rPr>
                <w:rFonts w:hint="eastAsia" w:ascii="FZFangSong-Z02" w:hAnsi="FZFangSong-Z02" w:eastAsia="FZFangSong-Z02" w:cs="FZFangSong-Z02"/>
                <w:b w:val="0"/>
                <w:bCs w:val="0"/>
                <w:color w:val="FF0000"/>
                <w:sz w:val="28"/>
                <w:szCs w:val="28"/>
                <w:highlight w:val="none"/>
                <w:lang w:val="en-US" w:eastAsia="zh-CN"/>
              </w:rPr>
              <w:t>涉及公共服务设施更新改造</w:t>
            </w:r>
            <w:r>
              <w:rPr>
                <w:rFonts w:hint="eastAsia" w:ascii="FZFangSong-Z02" w:hAnsi="FZFangSong-Z02" w:eastAsia="FZFangSong-Z02" w:cs="FZFangSong-Z02"/>
                <w:b w:val="0"/>
                <w:bCs w:val="0"/>
                <w:color w:val="FF0000"/>
                <w:sz w:val="28"/>
                <w:szCs w:val="28"/>
                <w:highlight w:val="none"/>
              </w:rPr>
              <w:t>无法达到现行标准和规范的，以不低于现状条件为底线进行更新。</w:t>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【新增条文】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响应国家、自治区对城市更新的相关要求，明确城市更新涉及的公共服务设施配置要求。</w:t>
            </w:r>
          </w:p>
        </w:tc>
      </w:tr>
      <w:bookmarkEnd w:id="39"/>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178" w:type="pct"/>
            <w:noWrap w:val="0"/>
            <w:vAlign w:val="center"/>
          </w:tcPr>
          <w:p>
            <w:pPr>
              <w:pStyle w:val="14"/>
              <w:keepNext w:val="0"/>
              <w:keepLines w:val="0"/>
              <w:pageBreakBefore w:val="0"/>
              <w:widowControl w:val="0"/>
              <w:numPr>
                <w:ilvl w:val="0"/>
                <w:numId w:val="0"/>
              </w:numPr>
              <w:tabs>
                <w:tab w:val="left" w:pos="420"/>
              </w:tabs>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bookmarkStart w:id="41" w:name="_Toc3777"/>
            <w:bookmarkStart w:id="42" w:name="_Toc28157"/>
            <w:bookmarkStart w:id="43" w:name="_Toc30147"/>
            <w:bookmarkStart w:id="44" w:name="_Toc4635"/>
            <w:bookmarkStart w:id="45" w:name="_Toc6242"/>
            <w:bookmarkStart w:id="46" w:name="_Toc24879"/>
            <w:bookmarkStart w:id="47" w:name="_Toc31955"/>
            <w:bookmarkStart w:id="48" w:name="_Toc32634"/>
            <w:bookmarkStart w:id="49" w:name="_Toc27571"/>
            <w:bookmarkStart w:id="50" w:name="_Toc25354"/>
            <w:bookmarkStart w:id="51" w:name="_Toc8989"/>
            <w:bookmarkStart w:id="52" w:name="_Toc25395"/>
            <w:bookmarkStart w:id="53" w:name="_Toc29682"/>
            <w:bookmarkStart w:id="54" w:name="_Toc14174"/>
            <w:bookmarkStart w:id="55" w:name="_Toc27384"/>
            <w:bookmarkStart w:id="56" w:name="_Toc20309"/>
            <w:bookmarkStart w:id="57" w:name="_Toc20574"/>
            <w:bookmarkStart w:id="58" w:name="_Toc1021"/>
            <w:bookmarkStart w:id="59" w:name="_Toc20473"/>
            <w:bookmarkStart w:id="60" w:name="_Toc17880"/>
            <w:r>
              <w:rPr>
                <w:rFonts w:hint="eastAsia" w:ascii="FZFangSong-Z02" w:hAnsi="FZFangSong-Z02" w:eastAsia="FZFangSong-Z02" w:cs="FZFangSong-Z02"/>
                <w:b w:val="0"/>
                <w:bCs w:val="0"/>
                <w:kern w:val="0"/>
                <w:sz w:val="28"/>
                <w:szCs w:val="28"/>
                <w:highlight w:val="none"/>
                <w:lang w:val="en-US" w:eastAsia="zh-CN" w:bidi="ar-SA"/>
              </w:rPr>
              <w:t>2.</w:t>
            </w:r>
            <w:r>
              <w:rPr>
                <w:rFonts w:hint="eastAsia" w:ascii="FZFangSong-Z02" w:hAnsi="FZFangSong-Z02" w:eastAsia="FZFangSong-Z02" w:cs="FZFangSong-Z02"/>
                <w:b w:val="0"/>
                <w:bCs w:val="0"/>
                <w:sz w:val="28"/>
                <w:szCs w:val="28"/>
                <w:highlight w:val="none"/>
                <w:lang w:val="en-US" w:eastAsia="zh-CN"/>
              </w:rPr>
              <w:t>术语</w:t>
            </w:r>
            <w:bookmarkEnd w:id="41"/>
            <w:bookmarkEnd w:id="42"/>
            <w:bookmarkEnd w:id="43"/>
            <w:bookmarkEnd w:id="44"/>
            <w:bookmarkEnd w:id="45"/>
            <w:bookmarkEnd w:id="46"/>
            <w:bookmarkEnd w:id="47"/>
            <w:bookmarkEnd w:id="48"/>
            <w:bookmarkEnd w:id="49"/>
            <w:bookmarkEnd w:id="50"/>
          </w:p>
          <w:p>
            <w:pPr>
              <w:pStyle w:val="14"/>
              <w:keepNext w:val="0"/>
              <w:keepLines w:val="0"/>
              <w:pageBreakBefore w:val="0"/>
              <w:widowControl w:val="0"/>
              <w:numPr>
                <w:ilvl w:val="0"/>
                <w:numId w:val="0"/>
              </w:numPr>
              <w:tabs>
                <w:tab w:val="left" w:pos="420"/>
              </w:tabs>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2.1社区</w:t>
            </w:r>
            <w:bookmarkEnd w:id="51"/>
            <w:bookmarkEnd w:id="52"/>
            <w:bookmarkEnd w:id="53"/>
            <w:bookmarkEnd w:id="54"/>
            <w:bookmarkEnd w:id="55"/>
            <w:bookmarkEnd w:id="56"/>
            <w:bookmarkEnd w:id="57"/>
            <w:bookmarkEnd w:id="58"/>
            <w:bookmarkEnd w:id="59"/>
            <w:bookmarkEnd w:id="60"/>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聚居在一定地域范围内的人们所组成的社会生活共同体，是社会治理的基本单元。</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61" w:name="_Toc1036"/>
            <w:bookmarkStart w:id="62" w:name="_Toc30727"/>
            <w:bookmarkStart w:id="63" w:name="_Toc24210"/>
            <w:bookmarkStart w:id="64" w:name="_Toc13390"/>
            <w:bookmarkStart w:id="65" w:name="_Toc2004"/>
            <w:bookmarkStart w:id="66" w:name="_Toc29909"/>
            <w:bookmarkStart w:id="67" w:name="_Toc27273"/>
            <w:bookmarkStart w:id="68" w:name="_Toc23422"/>
            <w:bookmarkStart w:id="69" w:name="_Toc22543"/>
            <w:r>
              <w:rPr>
                <w:rFonts w:hint="eastAsia" w:ascii="FZFangSong-Z02" w:hAnsi="FZFangSong-Z02" w:eastAsia="FZFangSong-Z02" w:cs="FZFangSong-Z02"/>
                <w:b w:val="0"/>
                <w:bCs w:val="0"/>
                <w:color w:val="FF0000"/>
                <w:sz w:val="28"/>
                <w:szCs w:val="28"/>
                <w:highlight w:val="none"/>
                <w:lang w:val="en-US" w:eastAsia="zh-CN"/>
              </w:rPr>
              <w:t>2.2城镇社区</w:t>
            </w:r>
            <w:bookmarkEnd w:id="61"/>
            <w:bookmarkEnd w:id="62"/>
            <w:bookmarkEnd w:id="63"/>
            <w:bookmarkEnd w:id="64"/>
            <w:bookmarkEnd w:id="65"/>
            <w:bookmarkEnd w:id="66"/>
            <w:bookmarkEnd w:id="67"/>
            <w:bookmarkEnd w:id="68"/>
            <w:bookmarkEnd w:id="69"/>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聚居在城市、县城和建制镇范围内的人们所组成的社会生活共同体，是城市、县城和建制镇社会治理的基本单元。</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70" w:name="_Toc7475"/>
            <w:bookmarkStart w:id="71" w:name="_Toc21698"/>
            <w:bookmarkStart w:id="72" w:name="_Toc12214"/>
            <w:bookmarkStart w:id="73" w:name="_Toc7209"/>
            <w:bookmarkStart w:id="74" w:name="_Toc4280"/>
            <w:bookmarkStart w:id="75" w:name="_Toc17955"/>
            <w:bookmarkStart w:id="76" w:name="_Toc10464"/>
            <w:bookmarkStart w:id="77" w:name="_Toc25657"/>
            <w:bookmarkStart w:id="78" w:name="_Toc31075"/>
            <w:r>
              <w:rPr>
                <w:rFonts w:hint="eastAsia" w:ascii="FZFangSong-Z02" w:hAnsi="FZFangSong-Z02" w:eastAsia="FZFangSong-Z02" w:cs="FZFangSong-Z02"/>
                <w:b w:val="0"/>
                <w:bCs w:val="0"/>
                <w:color w:val="FF0000"/>
                <w:sz w:val="28"/>
                <w:szCs w:val="28"/>
                <w:highlight w:val="none"/>
                <w:lang w:val="en-US" w:eastAsia="zh-CN"/>
              </w:rPr>
              <w:t>2.3乡村社区</w:t>
            </w:r>
            <w:bookmarkEnd w:id="70"/>
            <w:bookmarkEnd w:id="71"/>
            <w:bookmarkEnd w:id="72"/>
            <w:bookmarkEnd w:id="73"/>
            <w:bookmarkEnd w:id="74"/>
            <w:bookmarkEnd w:id="75"/>
            <w:bookmarkEnd w:id="76"/>
            <w:bookmarkEnd w:id="77"/>
            <w:bookmarkEnd w:id="78"/>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聚居在乡集镇、行政村范围内的人们所组成的社会生活共同体，是乡集镇、行政村社会治理的基本单元。</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79" w:name="_Toc27620"/>
            <w:bookmarkStart w:id="80" w:name="_Toc22175"/>
            <w:bookmarkStart w:id="81" w:name="_Toc717"/>
            <w:bookmarkStart w:id="82" w:name="_Toc10570"/>
            <w:bookmarkStart w:id="83" w:name="_Toc24894"/>
            <w:bookmarkStart w:id="84" w:name="_Toc28551"/>
            <w:bookmarkStart w:id="85" w:name="_Toc15723"/>
            <w:bookmarkStart w:id="86" w:name="_Toc27971"/>
            <w:bookmarkStart w:id="87" w:name="_Toc403"/>
            <w:bookmarkStart w:id="88" w:name="_Toc30171"/>
            <w:r>
              <w:rPr>
                <w:rFonts w:hint="eastAsia" w:ascii="FZFangSong-Z02" w:hAnsi="FZFangSong-Z02" w:eastAsia="FZFangSong-Z02" w:cs="FZFangSong-Z02"/>
                <w:b w:val="0"/>
                <w:bCs w:val="0"/>
                <w:color w:val="FF0000"/>
                <w:sz w:val="28"/>
                <w:szCs w:val="28"/>
                <w:highlight w:val="none"/>
                <w:lang w:val="en-US" w:eastAsia="zh-CN"/>
              </w:rPr>
              <w:t>2.4社区生活圈</w:t>
            </w:r>
            <w:bookmarkEnd w:id="79"/>
            <w:bookmarkEnd w:id="80"/>
            <w:bookmarkEnd w:id="81"/>
            <w:bookmarkEnd w:id="82"/>
            <w:bookmarkEnd w:id="83"/>
            <w:bookmarkEnd w:id="84"/>
            <w:bookmarkEnd w:id="85"/>
            <w:bookmarkEnd w:id="86"/>
            <w:bookmarkEnd w:id="87"/>
            <w:bookmarkEnd w:id="88"/>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在适宜的日常步行范围内，满足城乡居民全生命周期工作与生活等各类需求的基本单元，融合“宜业、宜居、宜游、宜养、宜学”多元功能，引领面向未来、健康低碳的美好生活方式。</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89" w:name="_Toc30987"/>
            <w:bookmarkStart w:id="90" w:name="_Toc24597"/>
            <w:bookmarkStart w:id="91" w:name="_Toc5573"/>
            <w:bookmarkStart w:id="92" w:name="_Toc16538"/>
            <w:r>
              <w:rPr>
                <w:rFonts w:hint="eastAsia" w:ascii="FZFangSong-Z02" w:hAnsi="FZFangSong-Z02" w:eastAsia="FZFangSong-Z02" w:cs="FZFangSong-Z02"/>
                <w:b w:val="0"/>
                <w:bCs w:val="0"/>
                <w:color w:val="FF0000"/>
                <w:sz w:val="28"/>
                <w:szCs w:val="28"/>
                <w:highlight w:val="none"/>
                <w:lang w:val="en-US" w:eastAsia="zh-CN"/>
              </w:rPr>
              <w:t>2.5 15分钟生活圈</w:t>
            </w:r>
            <w:bookmarkEnd w:id="89"/>
            <w:bookmarkEnd w:id="90"/>
            <w:bookmarkEnd w:id="91"/>
            <w:bookmarkEnd w:id="92"/>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以居民步行15分钟可满足其物质与生活文化需求为原则划分的生活圈范围；一般由主干路或用地边界线所围合，配套设施完善的地区。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93" w:name="_Toc21687"/>
            <w:bookmarkStart w:id="94" w:name="_Toc5471"/>
            <w:bookmarkStart w:id="95" w:name="_Toc3800"/>
            <w:bookmarkStart w:id="96" w:name="_Toc30634"/>
            <w:r>
              <w:rPr>
                <w:rFonts w:hint="eastAsia" w:ascii="FZFangSong-Z02" w:hAnsi="FZFangSong-Z02" w:eastAsia="FZFangSong-Z02" w:cs="FZFangSong-Z02"/>
                <w:b w:val="0"/>
                <w:bCs w:val="0"/>
                <w:color w:val="FF0000"/>
                <w:sz w:val="28"/>
                <w:szCs w:val="28"/>
                <w:highlight w:val="none"/>
                <w:lang w:val="en-US" w:eastAsia="zh-CN"/>
              </w:rPr>
              <w:t>2.6 5～10分钟生活圈</w:t>
            </w:r>
            <w:bookmarkEnd w:id="93"/>
            <w:bookmarkEnd w:id="94"/>
            <w:bookmarkEnd w:id="95"/>
            <w:bookmarkEnd w:id="96"/>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以居民步行5～10分钟可满足其基本物质与生活文化需求为原则划分的生活圈范围；一般由次干路、支路或用地边界线所围合，配建街区服务设施的地区。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97" w:name="_Toc10723"/>
            <w:bookmarkStart w:id="98" w:name="_Toc32038"/>
            <w:bookmarkStart w:id="99" w:name="_Toc28480"/>
            <w:bookmarkStart w:id="100" w:name="_Toc9236"/>
            <w:bookmarkStart w:id="101" w:name="_Toc20"/>
            <w:bookmarkStart w:id="102" w:name="_Toc13884"/>
            <w:bookmarkStart w:id="103" w:name="_Toc8425"/>
            <w:bookmarkStart w:id="104" w:name="_Toc25298"/>
            <w:bookmarkStart w:id="105" w:name="_Toc8366"/>
            <w:bookmarkStart w:id="106" w:name="_Toc21332"/>
            <w:r>
              <w:rPr>
                <w:rFonts w:hint="eastAsia" w:ascii="FZFangSong-Z02" w:hAnsi="FZFangSong-Z02" w:eastAsia="FZFangSong-Z02" w:cs="FZFangSong-Z02"/>
                <w:b w:val="0"/>
                <w:bCs w:val="0"/>
                <w:color w:val="FF0000"/>
                <w:sz w:val="28"/>
                <w:szCs w:val="28"/>
                <w:highlight w:val="none"/>
                <w:lang w:val="en-US" w:eastAsia="zh-CN"/>
              </w:rPr>
              <w:t>2.7 社区公共服务设施</w:t>
            </w:r>
            <w:bookmarkEnd w:id="97"/>
            <w:bookmarkEnd w:id="98"/>
            <w:bookmarkEnd w:id="99"/>
            <w:bookmarkEnd w:id="100"/>
            <w:bookmarkEnd w:id="101"/>
            <w:bookmarkEnd w:id="102"/>
            <w:bookmarkEnd w:id="103"/>
            <w:bookmarkEnd w:id="104"/>
            <w:bookmarkEnd w:id="105"/>
            <w:bookmarkEnd w:id="106"/>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社区公共服务设施也称配套公建，是指与居住人口规模相对应配建的，满足居住区居民或农村村民物质与文化生活需要，为其提供公共服务的设施总称。本规定中的社区公共服务设施不包括城市、县（区）级公共服务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3.1.1 小城镇社区基本公共服务设施，是指以建制镇（涉农街道）全域或片区（含镇区）范围内的居民为主要服务对象，提供较为综合全面的生活服务项目。</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4.1.2中心村基本公共服务设施，是指以本社区内1000～5000人左右以及周边若干基层社区为服务对象，提供基本、齐全的日常生产生活服务项目。</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4.1.3基层村基本公共服务设施，是指以本社区300～1000人左右为主要服务对象，提供最基本的日常生产生活服务项目。</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5.1.1公共服务设施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一般指城市中为经济社会发展服务的行政、商业、文化、 教育、医疗卫生、体育、社会福利等机构或设施，以及部分与居民日常生活关系密切的市政、交通、停车设施等。</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5.1.2基本公共服务设施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具有基本公共服务功能的一系列设施的总称，包括教育、卫生、文体、社会保障、行政管理、商业等社区服务设施和市政设施。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5.1.3公益性公共服务设施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一般指公共服务设施中非盈利的行政管理、教育科研、医疗卫生、文化体育、社会福利、市政公用等设施。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5.1.4经营性公共服务设施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一般指公共服务设施中以盈利为主的商业、金融（银行）等设施。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5.1.5控制性指标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主要指在进行规划、设计和建设时，必须执行的指标。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一般主要包括：用地性质、人均用地指标和建筑规模等</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5.1.6指导性指标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主要指在进行规划、设计和建设时，可根据或参照相关标准、市场需求确定的指标。例如商业设施的功能、规模和面积比例，可根据市场需要适当调整。</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5.1.7小城镇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农村地区镇街的镇区，包括中心镇和一般镇。按照宁夏的实际情况，可分为两类：（1）有行政建制的现状涉农街道或建制镇的镇区（镇街政府所在地）为其行政区域内的政治、经济、文化中心；（2）虽已撤销行政建制但规模较大且功能较为齐全的镇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5.1.8中心镇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县域城镇体系规划中的各分区内，在经济、社会和空间发展中发挥中心作用的镇。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5.1.9一般镇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县域城镇体系规划中，中心镇以外的镇。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5.1.10中心村</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镇域镇村体系规划中，设有兼为周围村服务的公共设施的村。</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5.1.11基层村</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镇域镇村体系规划中，中心村以外的村。</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本次修订对社区层级和分类进行了调整，因此重新选取了术语进行解释，并将术语前置方便查阅读取。</w:t>
            </w:r>
          </w:p>
          <w:p>
            <w:pPr>
              <w:pStyle w:val="14"/>
              <w:keepNext w:val="0"/>
              <w:keepLines w:val="0"/>
              <w:pageBreakBefore w:val="0"/>
              <w:widowControl w:val="0"/>
              <w:numPr>
                <w:ilvl w:val="0"/>
                <w:numId w:val="5"/>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“社区”“社区生活圈”的术语解释来源于《社区生活圈规划技术指南》。</w:t>
            </w:r>
          </w:p>
          <w:p>
            <w:pPr>
              <w:pStyle w:val="14"/>
              <w:keepNext w:val="0"/>
              <w:keepLines w:val="0"/>
              <w:pageBreakBefore w:val="0"/>
              <w:widowControl w:val="0"/>
              <w:numPr>
                <w:ilvl w:val="0"/>
                <w:numId w:val="5"/>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“城镇社区”和“乡村社区”是在“社区”概念的基础上，补充了城镇和乡村的范围。</w:t>
            </w:r>
          </w:p>
          <w:p>
            <w:pPr>
              <w:pStyle w:val="14"/>
              <w:keepNext w:val="0"/>
              <w:keepLines w:val="0"/>
              <w:pageBreakBefore w:val="0"/>
              <w:widowControl w:val="0"/>
              <w:numPr>
                <w:ilvl w:val="0"/>
                <w:numId w:val="5"/>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“15分钟生活圈”和“5～10分钟生活圈”的含义，来源于《城市居住区规划设计标准》。</w:t>
            </w:r>
          </w:p>
          <w:p>
            <w:pPr>
              <w:pStyle w:val="14"/>
              <w:keepNext w:val="0"/>
              <w:keepLines w:val="0"/>
              <w:pageBreakBefore w:val="0"/>
              <w:widowControl w:val="0"/>
              <w:numPr>
                <w:ilvl w:val="0"/>
                <w:numId w:val="5"/>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“社区公共服务设施”参考《长沙市居住公共服务设施配置规定》。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07" w:name="_Toc8946"/>
            <w:bookmarkStart w:id="108" w:name="_Toc10812"/>
            <w:r>
              <w:rPr>
                <w:rFonts w:hint="eastAsia" w:ascii="FZFangSong-Z02" w:hAnsi="FZFangSong-Z02" w:eastAsia="FZFangSong-Z02" w:cs="FZFangSong-Z02"/>
                <w:b w:val="0"/>
                <w:bCs w:val="0"/>
                <w:color w:val="FF0000"/>
                <w:sz w:val="28"/>
                <w:szCs w:val="28"/>
                <w:highlight w:val="none"/>
                <w:lang w:val="en-US" w:eastAsia="zh-CN"/>
              </w:rPr>
              <w:t>3.城镇社区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3.1总体要求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3.1.1 设施分类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15分钟社区生活圈公共服务设施分为七大类16项，其中行政管理与服务设施3项、教育设施1项、文化设施1项、体育设施2项、医疗卫生设施1项、社会福利与保障设施2项、其他设施6项。5～10分钟社区生活圈公共服务设施分为七大类13项，包括行政管理与服务设施1项、教育设施3项、文化设施1项、体育设施3项、医疗卫生设施1项、社会福利与保障设施1项、其他设施3项。</w:t>
            </w:r>
          </w:p>
          <w:p>
            <w:pPr>
              <w:pStyle w:val="14"/>
              <w:keepNext w:val="0"/>
              <w:keepLines w:val="0"/>
              <w:pageBreakBefore w:val="0"/>
              <w:widowControl w:val="0"/>
              <w:kinsoku/>
              <w:wordWrap/>
              <w:overflowPunct/>
              <w:topLinePunct/>
              <w:autoSpaceDE/>
              <w:autoSpaceDN/>
              <w:bidi w:val="0"/>
              <w:adjustRightInd/>
              <w:snapToGrid/>
              <w:spacing w:line="240" w:lineRule="auto"/>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drawing>
                <wp:inline distT="0" distB="0" distL="114300" distR="114300">
                  <wp:extent cx="3729990" cy="2237740"/>
                  <wp:effectExtent l="0" t="0" r="3810" b="1016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8"/>
                          <a:stretch>
                            <a:fillRect/>
                          </a:stretch>
                        </pic:blipFill>
                        <pic:spPr>
                          <a:xfrm>
                            <a:off x="0" y="0"/>
                            <a:ext cx="3729990" cy="2237740"/>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2.1.1 按其用地性质或使用功能，本指引将居住区公共服务设施分为八类：(1）教育设施；(2）文化娱乐设施：(3）体育健身设施；(4）行政管理与社区服务设施；(5）社会福利与保障设施；(6）医疗卫生设施；(7）商业金融服务设施；(8）市政公用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3.1.2 按照使用功能，小城镇社区基本公共服务设施分为七种：(1）行政管理服务设施；(2）教育设施；(3）医疗卫生设施；(4）社会福利与保障设施；(5）文化体育设施；(6）商业金融服务设施；(7）市政公用设施。</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kern w:val="0"/>
                <w:sz w:val="28"/>
                <w:szCs w:val="28"/>
                <w:highlight w:val="none"/>
                <w:lang w:val="en-US" w:eastAsia="zh-CN" w:bidi="ar-SA"/>
              </w:rPr>
            </w:pPr>
            <w:r>
              <w:rPr>
                <w:rFonts w:hint="eastAsia" w:ascii="FZFangSong-Z02" w:hAnsi="FZFangSong-Z02" w:eastAsia="FZFangSong-Z02" w:cs="FZFangSong-Z02"/>
                <w:b w:val="0"/>
                <w:bCs w:val="0"/>
                <w:sz w:val="28"/>
                <w:szCs w:val="28"/>
                <w:highlight w:val="none"/>
                <w:lang w:val="en-US" w:eastAsia="zh-CN"/>
              </w:rPr>
              <w:t>依据1.8设施分类，对城镇社区的设施分类进行了调整，并细化至具体建设项目。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2.1.3按照公共服务设施基本服务属性、市场特性的不同，可将其分为公益性公共服务设施和经营性公共服务设施。为确保社会公平和服务质量，公共服务设施的配置可保持一定弹性和灵活度，以适应市场化、城市化发展的需要。</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按照1.6设施分类，将原指引中的</w:t>
            </w:r>
            <w:r>
              <w:rPr>
                <w:rFonts w:hint="eastAsia" w:ascii="FZFangSong-Z02" w:hAnsi="FZFangSong-Z02" w:eastAsia="FZFangSong-Z02" w:cs="FZFangSong-Z02"/>
                <w:b w:val="0"/>
                <w:bCs w:val="0"/>
                <w:color w:val="auto"/>
                <w:sz w:val="28"/>
                <w:szCs w:val="28"/>
                <w:highlight w:val="none"/>
                <w:lang w:val="en-US" w:eastAsia="zh-CN"/>
              </w:rPr>
              <w:t>商业金融服务设施删除，现指引中不再区分</w:t>
            </w:r>
            <w:r>
              <w:rPr>
                <w:rFonts w:hint="eastAsia" w:ascii="FZFangSong-Z02" w:hAnsi="FZFangSong-Z02" w:eastAsia="FZFangSong-Z02" w:cs="FZFangSong-Z02"/>
                <w:b w:val="0"/>
                <w:bCs w:val="0"/>
                <w:sz w:val="28"/>
                <w:szCs w:val="28"/>
                <w:highlight w:val="none"/>
                <w:lang w:val="en-US" w:eastAsia="zh-CN"/>
              </w:rPr>
              <w:t>公益性公共服务设施和经营性公共服务设施，因此删除此表述。</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2.1.4公共服务设施的配置首先应符合城区居民分布的基本特点，并综合考虑行政区划的要求或影响，统筹兼顾、合理布局。公共服务设施的配置在不产生相互干扰的情况下，应结合城市交通，尽量集中配置，以方便居民生活、充分发挥综合效益。</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删除原指引中的2.1.4，将公共服务设施配置和选址相关内容细化至城镇社区和乡村社区的公共服务设施选址要求中。</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2.1.5新建公共服务设施的选址应满足以下要求：应选择市政设施条件较好、交通便利的地段；应选择位置适中、方便居民出入、便于服务辖区居民的地段；宜靠近广场、公园、绿地等公共活动空间。公共服务设施与其他建筑合建时，宜设置在建筑物低层部分，并有独立出入口。用地紧张的社区，可在同一辖区内，分开建设房屋建筑和场地。城市社区服务站用房和有关设施应根据使用功能要求合理布局，做到流线清晰、服务方便。</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删除原指引中的2.1.5，将公共服务设施配置和选址相关内容细化至城镇社区和乡村社区的公共服务设施选址要求中。</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kern w:val="0"/>
                <w:sz w:val="28"/>
                <w:szCs w:val="28"/>
                <w:highlight w:val="none"/>
                <w:lang w:val="en-US" w:eastAsia="zh-CN" w:bidi="ar-SA"/>
              </w:rPr>
            </w:pPr>
          </w:p>
        </w:tc>
      </w:tr>
      <w:bookmarkEnd w:id="107"/>
      <w:bookmark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3.1.2 设施配置基本要求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公共服务设施的配置水平，应与城市化发展、居住人口规模相适应。各级公共服务设施的配建为非包含关系，上一级公共服务设施不能覆盖下一级配建的公共服务设施。当居住人口规模介于15分钟生活圈和5～10分钟生活圈之间时，应按5～10分钟生活圈标准配置所有公共服务设施项目，并应根据需要选配15分钟生活圈的部分公共服务设施项目。</w:t>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2.2.1居住区、居住小区、居住组团公共服务设施的配置水平，应与城市化发展、居住人口规模相适应。居住区级公共服务设施的配置，应结合专项规划，统筹考虑街区（街坊）用地的主导属性和功能，并能适应街区发展需求。旧区改造中居住区各级、各类公共服务设施的配置应参照本标准执行，确实难以实现时，可差别配置，但不得低于本标准的70%。当居住人口规模介于居住区、居住小区之间时，应按居住小区级标准配置所有公共服务设施项目，并应根据需要选配居住区级标准的部分公共服务设施项目。</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6"/>
              </w:numPr>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kern w:val="0"/>
                <w:sz w:val="28"/>
                <w:szCs w:val="28"/>
                <w:highlight w:val="none"/>
                <w:lang w:val="en-US" w:eastAsia="zh-CN" w:bidi="ar-SA"/>
              </w:rPr>
              <w:t>删除</w:t>
            </w:r>
            <w:r>
              <w:rPr>
                <w:rFonts w:hint="eastAsia" w:ascii="FZFangSong-Z02" w:hAnsi="FZFangSong-Z02" w:eastAsia="FZFangSong-Z02" w:cs="FZFangSong-Z02"/>
                <w:b w:val="0"/>
                <w:bCs w:val="0"/>
                <w:color w:val="auto"/>
                <w:sz w:val="28"/>
                <w:szCs w:val="28"/>
                <w:highlight w:val="none"/>
                <w:lang w:val="en-US" w:eastAsia="zh-CN"/>
              </w:rPr>
              <w:t>“居住区、居住小区、居住组团”。</w:t>
            </w:r>
          </w:p>
          <w:p>
            <w:pPr>
              <w:pStyle w:val="14"/>
              <w:keepNext w:val="0"/>
              <w:keepLines w:val="0"/>
              <w:pageBreakBefore w:val="0"/>
              <w:widowControl w:val="0"/>
              <w:numPr>
                <w:ilvl w:val="0"/>
                <w:numId w:val="6"/>
              </w:numPr>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本指引按照社区生活圈提出公共服务设施配置要求，社区生活圈无主导功能概念，因此删除“居住区级公共服务设施的配置，应结合专项规划，统筹考虑街区（街坊）用地的主导属性和功能，并能适应街区发展需求”。</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3. 旧区改造相关内容统一纳入1.10城市更新配置要求中表述。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09" w:name="_Toc4819"/>
            <w:bookmarkStart w:id="110" w:name="_Toc9612"/>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2.2.2 各级、各类公共服务设施的空间布局，应结合主要生活性道路，以及交通枢纽站或公交首末站，尽可能配置在区位适中、交通便捷、人流量较大的地方。</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将公共服务设施配置和选址相关内容细化至城镇社区和乡村社区的公共服务设施选址要求中。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3.2各类设施设置要求</w:t>
            </w:r>
            <w:bookmarkEnd w:id="109"/>
            <w:bookmarkEnd w:id="110"/>
            <w:bookmarkStart w:id="111" w:name="_Toc1353"/>
            <w:bookmarkStart w:id="112" w:name="_Toc5193"/>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3.2.1行政管理与服务设施</w:t>
            </w:r>
            <w:bookmarkEnd w:id="111"/>
            <w:bookmarkEnd w:id="112"/>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15分钟生活圈行政管理与服务设施包括社区服务中心、街道办事处和司法所。5～10分钟生活圈行政管理与服务设施包括社区服务站。</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行政管理与服务设施一般结合街道办事处、镇政府所辖区域设置，应设置在位置适中、市政设施条件较好、交通便利、人流相对集中的地方，方便居民出入，可沿主要生活性干道布置。</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240" w:lineRule="auto"/>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highlight w:val="none"/>
              </w:rPr>
              <w:drawing>
                <wp:inline distT="0" distB="0" distL="114300" distR="114300">
                  <wp:extent cx="3741420" cy="2505075"/>
                  <wp:effectExtent l="0" t="0" r="11430" b="9525"/>
                  <wp:docPr id="28" name="图片 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25"/>
                          <pic:cNvPicPr>
                            <a:picLocks noChangeAspect="true"/>
                          </pic:cNvPicPr>
                        </pic:nvPicPr>
                        <pic:blipFill>
                          <a:blip r:embed="rId9"/>
                          <a:stretch>
                            <a:fillRect/>
                          </a:stretch>
                        </pic:blipFill>
                        <pic:spPr>
                          <a:xfrm>
                            <a:off x="0" y="0"/>
                            <a:ext cx="3741420" cy="2505075"/>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原指引的文字部分没有明确选址要求，在“表2-1 公共服务设施配置标准表”中明确了城市社区街道办事处、社区服务中心的配置要求。“表3-1 小城镇社区基本公共服务设施配建标准”中明确了小城镇社区镇街行政管理中心、社区公共服务中心、派出所配置要求。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7"/>
              </w:numPr>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本指引中的行政管理与服务设施的类型按照《社区生活圈规划技术指南》进行了更新。</w:t>
            </w:r>
          </w:p>
          <w:p>
            <w:pPr>
              <w:pStyle w:val="14"/>
              <w:keepNext w:val="0"/>
              <w:keepLines w:val="0"/>
              <w:pageBreakBefore w:val="0"/>
              <w:widowControl w:val="0"/>
              <w:numPr>
                <w:ilvl w:val="0"/>
                <w:numId w:val="7"/>
              </w:numPr>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选址要求依据《社区生活圈规划技术指南》，参照《长沙市居住公共服务设施配置规定》，结合地方实际对相关表述进行了细化。</w:t>
            </w:r>
          </w:p>
          <w:p>
            <w:pPr>
              <w:pStyle w:val="14"/>
              <w:keepNext w:val="0"/>
              <w:keepLines w:val="0"/>
              <w:pageBreakBefore w:val="0"/>
              <w:widowControl w:val="0"/>
              <w:numPr>
                <w:ilvl w:val="0"/>
                <w:numId w:val="7"/>
              </w:numPr>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表格中的配建指标依据《社区生活圈规划技术指南》进行修改。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3.2.2教育设施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15分钟生活圈教育设施包括初中，5～10分钟生活圈教育设施包括小学、幼儿园和托儿所。</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初中、小学、幼儿园及托儿所应独立设置，按其服务半径均匀布置。</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初中、小学、幼儿园及托儿所规模</w:t>
            </w:r>
            <w:r>
              <w:rPr>
                <w:rFonts w:hint="eastAsia" w:ascii="FZFangSong-Z02" w:hAnsi="FZFangSong-Z02" w:eastAsia="FZFangSong-Z02" w:cs="FZFangSong-Z02"/>
                <w:b w:val="0"/>
                <w:bCs w:val="0"/>
                <w:color w:val="FF0000"/>
                <w:sz w:val="28"/>
                <w:szCs w:val="28"/>
                <w:highlight w:val="none"/>
              </w:rPr>
              <w:t>根据适龄</w:t>
            </w:r>
            <w:r>
              <w:rPr>
                <w:rFonts w:hint="eastAsia" w:ascii="FZFangSong-Z02" w:hAnsi="FZFangSong-Z02" w:eastAsia="FZFangSong-Z02" w:cs="FZFangSong-Z02"/>
                <w:b w:val="0"/>
                <w:bCs w:val="0"/>
                <w:color w:val="FF0000"/>
                <w:sz w:val="28"/>
                <w:szCs w:val="28"/>
                <w:highlight w:val="none"/>
                <w:lang w:val="en-US" w:eastAsia="zh-CN"/>
              </w:rPr>
              <w:t>学生人数</w:t>
            </w:r>
            <w:r>
              <w:rPr>
                <w:rFonts w:hint="eastAsia" w:ascii="FZFangSong-Z02" w:hAnsi="FZFangSong-Z02" w:eastAsia="FZFangSong-Z02" w:cs="FZFangSong-Z02"/>
                <w:b w:val="0"/>
                <w:bCs w:val="0"/>
                <w:color w:val="FF0000"/>
                <w:sz w:val="28"/>
                <w:szCs w:val="28"/>
                <w:highlight w:val="none"/>
              </w:rPr>
              <w:t>确定</w:t>
            </w:r>
            <w:r>
              <w:rPr>
                <w:rFonts w:hint="eastAsia" w:ascii="FZFangSong-Z02" w:hAnsi="FZFangSong-Z02" w:eastAsia="FZFangSong-Z02" w:cs="FZFangSong-Z02"/>
                <w:b w:val="0"/>
                <w:bCs w:val="0"/>
                <w:color w:val="FF0000"/>
                <w:sz w:val="28"/>
                <w:szCs w:val="28"/>
                <w:highlight w:val="none"/>
                <w:lang w:eastAsia="zh-CN"/>
              </w:rPr>
              <w:t>，</w:t>
            </w:r>
            <w:r>
              <w:rPr>
                <w:rFonts w:hint="eastAsia" w:ascii="FZFangSong-Z02" w:hAnsi="FZFangSong-Z02" w:eastAsia="FZFangSong-Z02" w:cs="FZFangSong-Z02"/>
                <w:b w:val="0"/>
                <w:bCs w:val="0"/>
                <w:color w:val="FF0000"/>
                <w:sz w:val="28"/>
                <w:szCs w:val="28"/>
                <w:highlight w:val="none"/>
                <w:lang w:val="en-US" w:eastAsia="zh-CN"/>
              </w:rPr>
              <w:t>按照人均用地面积控制。初中人均用地面积不低于30平方米，小学人均用地面积不低于23平方米，幼儿园人均用地面积不低于15平方米。建设完全中学和九年一贯制学校的，其人均用地面积根据各阶段适龄学生的人均面积分别控制。确有困难不能达到本指引设置标准的项目，以“一事一议”原则单独论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lang w:val="en-US" w:eastAsia="zh-CN"/>
              </w:rPr>
            </w:pPr>
            <w:r>
              <w:drawing>
                <wp:inline distT="0" distB="0" distL="114300" distR="114300">
                  <wp:extent cx="3748405" cy="3561715"/>
                  <wp:effectExtent l="0" t="0" r="4445" b="635"/>
                  <wp:docPr id="32" name="图片 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16"/>
                          <pic:cNvPicPr>
                            <a:picLocks noChangeAspect="true"/>
                          </pic:cNvPicPr>
                        </pic:nvPicPr>
                        <pic:blipFill>
                          <a:blip r:embed="rId10"/>
                          <a:stretch>
                            <a:fillRect/>
                          </a:stretch>
                        </pic:blipFill>
                        <pic:spPr>
                          <a:xfrm>
                            <a:off x="0" y="0"/>
                            <a:ext cx="3748405" cy="3561715"/>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2.2.5建议幼儿园结合居住区内人口情况进行独立配置。建议中小学教育服务设施结合行政辖区人口分布情况和发展趋势，以及城市交通、环境等综合因素，按合理的服务范围和适宜规模进行均衡配置。在表格中明确占地面积：6班2700平方米，9班3800平方米，12班4700平方米；</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规划中小学校、幼儿园布点</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（一）每一万居住人口区域内设立十二个班级规模的幼儿园一所；</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（二）每一万居住人口区域内设立二十四个班级规模的小学一所；</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三）每二万居住人口区域内设立三十六个班级规模的中学一所。规划中小学校、幼儿园建设用地时，应当适当预留发展余地。寄宿制学校以及因用地形状不规则而无法满足总平面布局要求的学校，应当适当增加用地面积。</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3.2.3应当按照下列原则规划中小学校、幼儿园班级数并按照表3-1配置用地及建筑面积：</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（一）幼儿园按36生/千人、30人/班配建；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（二）小学按70生/千人、45人/班配建；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（三）初中按36生/千人、50人/班配建。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规划中小学校、幼儿园建设用地时，应当适当预留发展余地。寄宿制学校以及因用地形状不规则而无法满足总平面布局要求的学校，应当适当增加用地面积。</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8"/>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依据《社区生活圈规划技术指南》在分类中增加了托儿所。</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2. 依据《社区生活圈规划技术指南》《城市普通中小学校校舍建设标准》和《银川市中小学校幼儿园用地规划和保护条例》细化了选址要求。</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3. 依据《城市普通中小学校校舍建设标准》，参考《银川市城乡规划管理技术规定》《吴忠市城乡规划管理技术规定》和《银川市中小学校幼儿园用地规划和保护条例》明确了生均用地面积。</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4. 班额设置根据现状人口情况确定，本指引只控制生均用地面积，不对班额进行要求，删除原指引中相关规定。</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5. 教育设施的配置要求依据《社区生活圈规划技术指南》修改。</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6. 参考《长沙市居住公共服务设施配置规定》提出“确有困难不能达到本指引设置标准的项目，以‘一事一议’原则单独论证”。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13" w:name="_Toc11511"/>
            <w:bookmarkStart w:id="114" w:name="_Toc21945"/>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2.2.6 公共服务设施的配套停车场（库）配置要求和标准按照《自治区建设项目配建停车场（库）标准》执行。居住区居民小汽车停车场（库）按照表 2-3的标准配置。自行车的停车场（库）根据实际需要，结合公共服务设施、居民楼等配置。根据住宅建筑面积分为三类：独立住宅、一类住宅（户建筑面积大于等于100平方米的非独立式住宅）和二类住宅（户建筑面积小于100平方米的非独立式住宅，以及户面积小于 100平方米的公寓式住宅）。</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 删除原指引中的2.2.6，相关内容在《宁夏回族自治区建设项目停车场（库）配建标准》中明确，本指引不再提及。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3.2.3文化设施</w:t>
            </w:r>
            <w:bookmarkEnd w:id="113"/>
            <w:bookmarkEnd w:id="114"/>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15分钟生活圈文化设施包括文化活动中心，5～10分钟生活圈文化设施包括文化活动站。</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文化活动中心宜与体育场（馆）或多功能运动场地结合设置，应选址在位置适中、交通便利地段。</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文化活动站宜结合社区其他管理用房或绿地建设。</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文化活动中心原则上根据服务人口配置。文化活动站按服务人口，每个5～10分钟生活圈宜设置1处。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lang w:val="en-US" w:eastAsia="zh-CN"/>
              </w:rPr>
            </w:pPr>
            <w:r>
              <w:drawing>
                <wp:inline distT="0" distB="0" distL="114300" distR="114300">
                  <wp:extent cx="3793490" cy="1533525"/>
                  <wp:effectExtent l="0" t="0" r="16510" b="9525"/>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pic:cNvPicPr>
                        </pic:nvPicPr>
                        <pic:blipFill>
                          <a:blip r:embed="rId11"/>
                          <a:stretch>
                            <a:fillRect/>
                          </a:stretch>
                        </pic:blipFill>
                        <pic:spPr>
                          <a:xfrm>
                            <a:off x="0" y="0"/>
                            <a:ext cx="3793490" cy="1533525"/>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原指引的文字部分没有明确选址要求，在“表2-1 公共服务设施配置标准表”中明确了城市社区文化娱乐设施包括文化活动中心和文化活动站的配置要求。“表3-1 小城镇社区基本公共服务设施配建标准”中明确了小城镇社区文化站配置要求。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 “选址要求”结合《社区生活圈规划技术指南》《城市公共服务设施规划标准》《公共文化体育设施条例》进行了细化。</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2. “设置标准”依据《社区生活圈规划技术指南》修改。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15" w:name="_Toc808"/>
            <w:bookmarkStart w:id="116" w:name="_Toc3661"/>
            <w:r>
              <w:rPr>
                <w:rFonts w:hint="eastAsia" w:ascii="FZFangSong-Z02" w:hAnsi="FZFangSong-Z02" w:eastAsia="FZFangSong-Z02" w:cs="FZFangSong-Z02"/>
                <w:b w:val="0"/>
                <w:bCs w:val="0"/>
                <w:color w:val="FF0000"/>
                <w:sz w:val="28"/>
                <w:szCs w:val="28"/>
                <w:highlight w:val="none"/>
                <w:lang w:val="en-US" w:eastAsia="zh-CN"/>
              </w:rPr>
              <w:t>3.2.4体育设施</w:t>
            </w:r>
            <w:bookmarkEnd w:id="115"/>
            <w:bookmarkEnd w:id="116"/>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15分钟生活圈体育设施包括体育场（馆）或全民健身中心、大型多功能运动场地，5～10分钟生活圈体育设施包括中型多功能运动场地或小型多功能运动（球类）场地、室外综合健身场地。</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体育设施宜布局在方便、安全、对生活休息干扰小的地段，并便于场地管理。大型、中型多功能运动场地宜独立占地，结合公共绿地等公共活动空间统筹布局，小型多功能运动（球类）场地、室外综合健身场地可结合城市闲置地、公园绿地、权属单位物业用房设置多处，附近宜设置公共厕所。当运动项目设置于室内时，不宜设置在住宅建筑内，确需设置在住宅建筑内的，应该做好隔噪措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15分钟生活圈体育设施原则上根据服务人口规模配置。中型多功能运动场地、小型多功能运动场地、综合健身或运动场地按服务人口，每个5～10分钟生活圈宜设置1处。</w:t>
            </w:r>
          </w:p>
          <w:p>
            <w:pPr>
              <w:spacing w:line="240" w:lineRule="auto"/>
              <w:rPr>
                <w:rFonts w:hint="eastAsia"/>
                <w:highlight w:val="none"/>
                <w:lang w:val="en-US" w:eastAsia="zh-CN"/>
              </w:rPr>
            </w:pPr>
            <w:r>
              <w:drawing>
                <wp:inline distT="0" distB="0" distL="114300" distR="114300">
                  <wp:extent cx="3756660" cy="3450590"/>
                  <wp:effectExtent l="0" t="0" r="15240" b="16510"/>
                  <wp:docPr id="5"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true"/>
                          </pic:cNvPicPr>
                        </pic:nvPicPr>
                        <pic:blipFill>
                          <a:blip r:embed="rId12"/>
                          <a:stretch>
                            <a:fillRect/>
                          </a:stretch>
                        </pic:blipFill>
                        <pic:spPr>
                          <a:xfrm>
                            <a:off x="0" y="0"/>
                            <a:ext cx="3756660" cy="3450590"/>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原指引的文字部分没有明确选址要求，在“表2-1 公共服务设施配置标准表”中明确了城市社区体育活动中心、社区体育中心和居民健身场地的配置要求。“表3-1 小城镇社区基本公共服务设施配建标准”中明确了小城镇社区体育健身设施的配置要求。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9"/>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本指引中的体育设施的类型按照《社区生活圈规划技术指南》进行了更新。</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2. “选址要求”依据《社区生活圈规划技术指南》《城市公共服务设施规划标准》《公共文化体育设施条例》细化。</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3. “设置标准”依据《社区生活圈规划技术指南》修改。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17" w:name="_Toc18410"/>
            <w:bookmarkStart w:id="118" w:name="_Toc11875"/>
            <w:r>
              <w:rPr>
                <w:rFonts w:hint="eastAsia" w:ascii="FZFangSong-Z02" w:hAnsi="FZFangSong-Z02" w:eastAsia="FZFangSong-Z02" w:cs="FZFangSong-Z02"/>
                <w:b w:val="0"/>
                <w:bCs w:val="0"/>
                <w:color w:val="FF0000"/>
                <w:sz w:val="28"/>
                <w:szCs w:val="28"/>
                <w:highlight w:val="none"/>
                <w:lang w:val="en-US" w:eastAsia="zh-CN"/>
              </w:rPr>
              <w:t>3.2.5医疗卫生设施</w:t>
            </w:r>
            <w:bookmarkEnd w:id="117"/>
            <w:bookmarkEnd w:id="118"/>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15分钟生活圈医疗卫生设施包括街道社区卫生服务中心（社区医院），5～10分钟生活圈医疗卫生设施包括社区卫生服务站。</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医疗卫生设施应设置在交通方便、环境安静地段，宜与绿地相邻；应远离易燃易爆物的生产与贮存场所；不应与市场、学校、幼儿园、公共娱乐场所、消防站、垃圾转运站、强电磁辐射源等毗邻。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社区卫生服务中心（社区医院）原则上根据服务人口规模，每个15分钟生活圈宜设置1处。社区卫生服务站是社区卫生服务中心的补充，配置在人口较多，社区卫生服务中心难以覆盖的社区。</w:t>
            </w:r>
          </w:p>
          <w:p>
            <w:pPr>
              <w:spacing w:line="240" w:lineRule="auto"/>
              <w:rPr>
                <w:rFonts w:hint="eastAsia"/>
                <w:highlight w:val="none"/>
                <w:lang w:val="en-US" w:eastAsia="zh-CN"/>
              </w:rPr>
            </w:pPr>
            <w:r>
              <w:drawing>
                <wp:inline distT="0" distB="0" distL="114300" distR="114300">
                  <wp:extent cx="3720465" cy="1594485"/>
                  <wp:effectExtent l="0" t="0" r="13335" b="5715"/>
                  <wp:docPr id="6"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true"/>
                          </pic:cNvPicPr>
                        </pic:nvPicPr>
                        <pic:blipFill>
                          <a:blip r:embed="rId13"/>
                          <a:stretch>
                            <a:fillRect/>
                          </a:stretch>
                        </pic:blipFill>
                        <pic:spPr>
                          <a:xfrm>
                            <a:off x="0" y="0"/>
                            <a:ext cx="3720465" cy="1594485"/>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原指引的文字部分没有明确选址要求，在“表2-1 公共服务设施配置标准表”中明确了城市社区社区卫生服务中心、社区卫生服务站的配置要求。“表3-1 小城镇社区基本公共服务设施配建标准”中明确了小城镇社区卫生院的配置要求。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10"/>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分类依据《社区生活圈规划技术指南》进行了修改。</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2. “选址要求”依据《社区生活圈规划技术指南》，结合《社区卫生服务中心、站建设标准》《城市公共服务设施规划标准》细化。</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3. “设置标准”依据《社区生活圈规划技术指南》修改。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3.2.6社会福利与保障设施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15分钟生活圈社会福利与保障设施包含养老院或老年养护院，5～10分钟生活圈社会福利与保障设施为老年人日间照料中心。</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社会福利与保障设施应设置在服务对象集中、地形平坦、环境安静的地段。老年人日间照料中心宜结合社区卫生服务站、小区游园或社区公共绿地设置，宜设置在建筑首层且相对独立，并有独立出入口，符合适老化无障碍通行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养老院或老年养护院根据服务人口规模设置。老年日间照料中心原则上每个5～10分钟生活圈宜设置1处。</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ighlight w:val="none"/>
                <w:lang w:val="en-US" w:eastAsia="zh-CN"/>
              </w:rPr>
            </w:pPr>
            <w:r>
              <w:drawing>
                <wp:inline distT="0" distB="0" distL="114300" distR="114300">
                  <wp:extent cx="3745865" cy="2292985"/>
                  <wp:effectExtent l="0" t="0" r="6985" b="12065"/>
                  <wp:docPr id="29"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13"/>
                          <pic:cNvPicPr>
                            <a:picLocks noChangeAspect="true"/>
                          </pic:cNvPicPr>
                        </pic:nvPicPr>
                        <pic:blipFill>
                          <a:blip r:embed="rId14"/>
                          <a:stretch>
                            <a:fillRect/>
                          </a:stretch>
                        </pic:blipFill>
                        <pic:spPr>
                          <a:xfrm>
                            <a:off x="0" y="0"/>
                            <a:ext cx="3745865" cy="2292985"/>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2.2.4养老院、老年公寓等老年人设施的配置应同时符合《城镇老年人设施规划规范》的相关要求。旧城区老年人设施新建、扩建或改建项目的规模、内容，应满足老年人生活、活动的基本需要。</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3.2.4社会养老床位数达到每千名老年人35～40张。根据床位数分为三类，一类养老院养老床位在120张以上，二类养老院床位在60～120张之间，三类养老院养老床位数在60张以下。卫生院床位数应按国家《乡镇卫生院建设标准》设置。</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11"/>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分类依据《社区生活圈规划技术指南》修改。</w:t>
            </w:r>
          </w:p>
          <w:p>
            <w:pPr>
              <w:pStyle w:val="14"/>
              <w:keepNext w:val="0"/>
              <w:keepLines w:val="0"/>
              <w:pageBreakBefore w:val="0"/>
              <w:widowControl w:val="0"/>
              <w:numPr>
                <w:ilvl w:val="0"/>
                <w:numId w:val="11"/>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“选址要求”依据《社区生活圈规划技术指南》，结合实际细化。</w:t>
            </w:r>
          </w:p>
          <w:p>
            <w:pPr>
              <w:pStyle w:val="14"/>
              <w:keepNext w:val="0"/>
              <w:keepLines w:val="0"/>
              <w:pageBreakBefore w:val="0"/>
              <w:widowControl w:val="0"/>
              <w:numPr>
                <w:ilvl w:val="0"/>
                <w:numId w:val="11"/>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“设置标准”依据《社区生活圈规划技术指南》《民政部 自然资源部关于加强养老服务设施布局规划编制工作的通知》《宁夏回族自治区新建居住（小）区养老服务设施规划、建设、移交和使用管理办法》修改。</w:t>
            </w:r>
          </w:p>
          <w:p>
            <w:pPr>
              <w:pStyle w:val="14"/>
              <w:keepNext w:val="0"/>
              <w:keepLines w:val="0"/>
              <w:pageBreakBefore w:val="0"/>
              <w:widowControl w:val="0"/>
              <w:numPr>
                <w:ilvl w:val="0"/>
                <w:numId w:val="11"/>
              </w:numPr>
              <w:kinsoku/>
              <w:wordWrap/>
              <w:overflowPunct/>
              <w:topLinePunct/>
              <w:autoSpaceDE/>
              <w:autoSpaceDN/>
              <w:bidi w:val="0"/>
              <w:adjustRightInd/>
              <w:snapToGrid/>
              <w:spacing w:line="300" w:lineRule="exact"/>
              <w:ind w:left="0" w:leftChars="0" w:firstLine="0" w:firstLineChars="0"/>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养老设施的床位数应按照服务人口确定，参照国家相关标准执行，本指引不对床位数作要求。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19" w:name="_Toc30831"/>
            <w:bookmarkStart w:id="120" w:name="_Toc24383"/>
            <w:r>
              <w:rPr>
                <w:rFonts w:hint="eastAsia" w:ascii="FZFangSong-Z02" w:hAnsi="FZFangSong-Z02" w:eastAsia="FZFangSong-Z02" w:cs="FZFangSong-Z02"/>
                <w:b w:val="0"/>
                <w:bCs w:val="0"/>
                <w:color w:val="FF0000"/>
                <w:sz w:val="28"/>
                <w:szCs w:val="28"/>
                <w:highlight w:val="none"/>
                <w:lang w:val="en-US" w:eastAsia="zh-CN"/>
              </w:rPr>
              <w:t>3.2.7其他设施</w:t>
            </w:r>
            <w:bookmarkEnd w:id="119"/>
            <w:bookmarkEnd w:id="120"/>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15分钟生活圈的其他设施包括开闭所、基站、热交换站、垃圾转运站、环卫工人休息处、公交首末站；5～10分钟生活圈的其他设施包括生活垃圾收集站、公共厕所、公交车站。</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其他设施按照国家、自治区对相关设施的设置标准及专业规划设置进行配置。</w:t>
            </w:r>
          </w:p>
          <w:p>
            <w:pPr>
              <w:spacing w:line="240" w:lineRule="auto"/>
              <w:rPr>
                <w:rFonts w:hint="eastAsia"/>
                <w:highlight w:val="none"/>
                <w:lang w:val="en-US" w:eastAsia="zh-CN"/>
              </w:rPr>
            </w:pPr>
            <w:r>
              <w:drawing>
                <wp:inline distT="0" distB="0" distL="114300" distR="114300">
                  <wp:extent cx="3745865" cy="2991485"/>
                  <wp:effectExtent l="0" t="0" r="6985" b="18415"/>
                  <wp:docPr id="16"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true"/>
                          </pic:cNvPicPr>
                        </pic:nvPicPr>
                        <pic:blipFill>
                          <a:blip r:embed="rId15"/>
                          <a:stretch>
                            <a:fillRect/>
                          </a:stretch>
                        </pic:blipFill>
                        <pic:spPr>
                          <a:xfrm>
                            <a:off x="0" y="0"/>
                            <a:ext cx="3745865" cy="2991485"/>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2.2.3按照相关标准配置公共厕所，公共厕所宜独立配置或结合其他公共服务设施、城市绿地、广场等配置；与公共服务设施合设的公共厕所应保证向居民开放，方便社会使用。</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“表2-1 公共服务设施配置标准表”中明确了城市社区换热站、垃圾转运站、环卫工人休息场、公共厕所、公交首末站的配置要求。“表3-1 小城镇社区基本公共服务设施配建标准”中明确了公共厕所、公交首末站的配置要求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12"/>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分类依据《社区生活圈规划技术指南》增加其他设施，并将原指引中的市政公用设施并入其他设施。</w:t>
            </w:r>
          </w:p>
          <w:p>
            <w:pPr>
              <w:pStyle w:val="14"/>
              <w:keepNext w:val="0"/>
              <w:keepLines w:val="0"/>
              <w:pageBreakBefore w:val="0"/>
              <w:widowControl w:val="0"/>
              <w:numPr>
                <w:ilvl w:val="0"/>
                <w:numId w:val="12"/>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设置标准内容依据《社区生活圈规划技术指南》进行了修改。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spacing w:line="240" w:lineRule="auto"/>
              <w:jc w:val="both"/>
              <w:rPr>
                <w:rFonts w:hint="eastAsia" w:ascii="FZFangSong-Z02" w:hAnsi="FZFangSong-Z02" w:eastAsia="FZFangSong-Z02" w:cs="FZFangSong-Z02"/>
                <w:b w:val="0"/>
                <w:bCs w:val="0"/>
                <w:sz w:val="28"/>
                <w:szCs w:val="28"/>
                <w:highlight w:val="none"/>
                <w:lang w:val="en-US" w:eastAsia="zh-CN"/>
              </w:rPr>
            </w:pPr>
            <w:bookmarkStart w:id="121" w:name="_Toc10785"/>
            <w:bookmarkStart w:id="122" w:name="_Toc1783"/>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3.1.3 按照产品的公共属性，小城镇社区基本公共服务设施分为两类：一类是公益性基本公共服务设施，包括教育、医疗卫生、文化体育、社会福利与保障、行政管理服务和市政公用等设施，需确保设置；另一类是经营性基本公共服务设施，主要是商业金融服务设施，其建设主要以市场推动为主。</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按照1.6设施分类，</w:t>
            </w:r>
            <w:r>
              <w:rPr>
                <w:rFonts w:hint="eastAsia" w:ascii="FZFangSong-Z02" w:hAnsi="FZFangSong-Z02" w:eastAsia="FZFangSong-Z02" w:cs="FZFangSong-Z02"/>
                <w:b w:val="0"/>
                <w:bCs w:val="0"/>
                <w:color w:val="auto"/>
                <w:sz w:val="28"/>
                <w:szCs w:val="28"/>
                <w:highlight w:val="none"/>
                <w:lang w:val="en-US" w:eastAsia="zh-CN"/>
              </w:rPr>
              <w:t>现指引中不再区分</w:t>
            </w:r>
            <w:r>
              <w:rPr>
                <w:rFonts w:hint="eastAsia" w:ascii="FZFangSong-Z02" w:hAnsi="FZFangSong-Z02" w:eastAsia="FZFangSong-Z02" w:cs="FZFangSong-Z02"/>
                <w:b w:val="0"/>
                <w:bCs w:val="0"/>
                <w:sz w:val="28"/>
                <w:szCs w:val="28"/>
                <w:highlight w:val="none"/>
                <w:lang w:val="en-US" w:eastAsia="zh-CN"/>
              </w:rPr>
              <w:t>公益性公共服务设施和经营性公共服务设施，因此删除此表述。</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spacing w:line="240" w:lineRule="auto"/>
              <w:jc w:val="both"/>
              <w:rPr>
                <w:rFonts w:hint="eastAsia" w:ascii="FZFangSong-Z02" w:hAnsi="FZFangSong-Z02" w:eastAsia="FZFangSong-Z02" w:cs="FZFangSong-Z02"/>
                <w:b w:val="0"/>
                <w:bCs w:val="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3.2.1 小城镇社区基本公共服务设施应根据区县和乡镇总体规划的要求，与地区功能定位、社会经济发展目标和发展需求相适应，原则上要相对集中设置，合理布局。</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将原指引3.2.1中小城镇社区的基本公共服务设施配置要求在城镇社区公共服务设施选址布局中予以分条明确。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spacing w:line="240" w:lineRule="auto"/>
              <w:jc w:val="both"/>
              <w:rPr>
                <w:rFonts w:hint="eastAsia" w:ascii="FZFangSong-Z02" w:hAnsi="FZFangSong-Z02" w:eastAsia="FZFangSong-Z02" w:cs="FZFangSong-Z02"/>
                <w:b w:val="0"/>
                <w:bCs w:val="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3.2.2 在小城镇交通便利的中心地段或邻近公共交通站点集中设置小城镇社区基本公共服务设施（需独立设置的设施除外），其用地及建筑规模应按照表3-1的规定执行</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将原指引中的3.2.2公共服务设施选址相关内容细化至城镇社区的公共服务设施选址要求中。</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4.乡村社区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4.1总体要求</w:t>
            </w:r>
            <w:bookmarkEnd w:id="121"/>
            <w:bookmarkEnd w:id="122"/>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4.1.1 设施分类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村社区公共服务设施包含乡集镇层级和村（组）层级，乡集镇层级分为七大类12项，包括行政管理与服务设施1项、教育设施2项、文化设施1项、体育设施1项、医疗卫生设施1项、社会福利与保障设施2项、其他设施2项；村（组）层级分为七大类12项，包括行政管理与服务设施1项、教育设施1项、文化设施2项、体育设施1项、医疗卫生设施1项、社会福利与保障设施1项、其他设施3项。</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4.1.2 设施配置基本要求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各级公共服务设施的配建为非包含关系，上一级公共服务设施不能覆盖下一级配建的公共服务设施。</w:t>
            </w:r>
          </w:p>
          <w:p>
            <w:pPr>
              <w:pStyle w:val="14"/>
              <w:keepNext w:val="0"/>
              <w:keepLines w:val="0"/>
              <w:pageBreakBefore w:val="0"/>
              <w:widowControl w:val="0"/>
              <w:kinsoku/>
              <w:wordWrap/>
              <w:overflowPunct/>
              <w:topLinePunct/>
              <w:autoSpaceDE/>
              <w:autoSpaceDN/>
              <w:bidi w:val="0"/>
              <w:adjustRightInd/>
              <w:snapToGrid/>
              <w:spacing w:line="240" w:lineRule="auto"/>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drawing>
                <wp:inline distT="0" distB="0" distL="114300" distR="114300">
                  <wp:extent cx="3746500" cy="1720215"/>
                  <wp:effectExtent l="0" t="0" r="6350" b="13335"/>
                  <wp:docPr id="17"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true"/>
                          </pic:cNvPicPr>
                        </pic:nvPicPr>
                        <pic:blipFill>
                          <a:blip r:embed="rId16"/>
                          <a:stretch>
                            <a:fillRect/>
                          </a:stretch>
                        </pic:blipFill>
                        <pic:spPr>
                          <a:xfrm>
                            <a:off x="0" y="0"/>
                            <a:ext cx="3746500" cy="1720215"/>
                          </a:xfrm>
                          <a:prstGeom prst="rect">
                            <a:avLst/>
                          </a:prstGeom>
                          <a:noFill/>
                          <a:ln>
                            <a:noFill/>
                          </a:ln>
                        </pic:spPr>
                      </pic:pic>
                    </a:graphicData>
                  </a:graphic>
                </wp:inline>
              </w:drawing>
            </w:r>
          </w:p>
          <w:p>
            <w:pPr>
              <w:spacing w:line="240" w:lineRule="auto"/>
              <w:jc w:val="both"/>
              <w:rPr>
                <w:rFonts w:hint="eastAsia" w:ascii="FZFangSong-Z02" w:hAnsi="FZFangSong-Z02" w:eastAsia="FZFangSong-Z02" w:cs="FZFangSong-Z02"/>
                <w:b w:val="0"/>
                <w:bCs w:val="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4.1.1 农村社区基本公共服务设施按照中心村和基层村两档配置。</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4.1.4按照使用功能，农村社区基本公共服务设施分为七种：（1）行政管理服务设施；（2）教育设施；（3）医疗卫生设施；（4）社会福利与保障设施；（5）文化体育设施；（6）商业金融服务设施；（7）市政公用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13"/>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依据《社区生活圈规划技术指南》，将乡村社区的基本公共服务设施按照乡集镇层级和村（组）层级配置。</w:t>
            </w:r>
          </w:p>
          <w:p>
            <w:pPr>
              <w:pStyle w:val="14"/>
              <w:keepNext w:val="0"/>
              <w:keepLines w:val="0"/>
              <w:pageBreakBefore w:val="0"/>
              <w:widowControl w:val="0"/>
              <w:numPr>
                <w:ilvl w:val="0"/>
                <w:numId w:val="13"/>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分类依据《社区生活圈规划技术指南》，结合本指引1.6设施分类，对乡村社区的服务类型进行了修改。</w:t>
            </w:r>
          </w:p>
          <w:p>
            <w:pPr>
              <w:pStyle w:val="14"/>
              <w:keepNext w:val="0"/>
              <w:keepLines w:val="0"/>
              <w:pageBreakBefore w:val="0"/>
              <w:widowControl w:val="0"/>
              <w:numPr>
                <w:ilvl w:val="0"/>
                <w:numId w:val="13"/>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新增了公共服务设施配置的基本要求。</w:t>
            </w:r>
          </w:p>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spacing w:line="240" w:lineRule="auto"/>
              <w:jc w:val="both"/>
              <w:rPr>
                <w:rFonts w:hint="eastAsia" w:ascii="FZFangSong-Z02" w:hAnsi="FZFangSong-Z02" w:eastAsia="FZFangSong-Z02" w:cs="FZFangSong-Z02"/>
                <w:b w:val="0"/>
                <w:bCs w:val="0"/>
                <w:sz w:val="28"/>
                <w:szCs w:val="28"/>
                <w:highlight w:val="none"/>
                <w:lang w:val="en-US" w:eastAsia="zh-CN"/>
              </w:rPr>
            </w:pPr>
            <w:bookmarkStart w:id="123" w:name="_Toc23148"/>
            <w:bookmarkStart w:id="124" w:name="_Toc17264"/>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4.2.3 基层村基本公共服务设施参照中心村，适当减量或有选择性配置，鼓励进行空间的多功能复合利用。</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default"/>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本指引分别按照乡集镇层级和村（组）层级对公共服务设施配置提出要求，不存在减量或选择性配置的情况。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spacing w:line="240" w:lineRule="auto"/>
              <w:jc w:val="both"/>
              <w:rPr>
                <w:rFonts w:hint="eastAsia" w:ascii="FZFangSong-Z02" w:hAnsi="FZFangSong-Z02" w:eastAsia="FZFangSong-Z02" w:cs="FZFangSong-Z02"/>
                <w:b w:val="0"/>
                <w:bCs w:val="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4.1.5 按照产品的公共属性，农村社区基本公共服务设施分为两类：一类是公益性基本公共服务设施，包括行政管理服务、教育、医疗卫生、社会福利与保障、文化体育和市政公用等设施，需确保设置；另一类是经营性基本公共服务设施，主要是商业金融服务设施，其建设主要以市场推动为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numPr>
                <w:ilvl w:val="0"/>
                <w:numId w:val="14"/>
              </w:numPr>
              <w:kinsoku/>
              <w:wordWrap/>
              <w:overflowPunct/>
              <w:topLinePunct/>
              <w:autoSpaceDE/>
              <w:autoSpaceDN/>
              <w:bidi w:val="0"/>
              <w:adjustRightInd/>
              <w:snapToGrid/>
              <w:spacing w:line="300" w:lineRule="exact"/>
              <w:ind w:left="0" w:leftChars="0"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按照1.6设施分类，现指引中不再区分公益性公共服务设施和经营性公共服务设施，因此删除此表述。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spacing w:line="240" w:lineRule="auto"/>
              <w:jc w:val="both"/>
              <w:rPr>
                <w:rFonts w:hint="eastAsia" w:ascii="FZFangSong-Z02" w:hAnsi="FZFangSong-Z02" w:eastAsia="FZFangSong-Z02" w:cs="FZFangSong-Z02"/>
                <w:b w:val="0"/>
                <w:bCs w:val="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4.1.6对于人口规模低于基层社区的规划保留村或特色村，不纳入本指引分级分类配建范围，但可通过提高交通可达性，提高农村社区设施服务覆盖范围的方式来解决其基本公共服务供给问题。</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ind w:left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本指引分别按照乡集镇层级和村（组）层级对公共服务设施配置提出要求，覆盖所有村（组），原指引相关内容不再表述</w:t>
            </w:r>
            <w:r>
              <w:rPr>
                <w:rFonts w:hint="eastAsia" w:ascii="FZFangSong-Z02" w:hAnsi="FZFangSong-Z02" w:eastAsia="FZFangSong-Z02" w:cs="FZFangSong-Z02"/>
                <w:b w:val="0"/>
                <w:bCs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4.2.1 农村社区基本公共服务设施应在交通便利的社区中心地段或入口集中设置，具体配建要求和规模应按照表4-1的规定执行。</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相关内容细化至乡村社区各类公共服务设施配置和选址要求中。</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eastAsia" w:ascii="FZFangSong-Z02" w:hAnsi="FZFangSong-Z02" w:eastAsia="FZFangSong-Z02" w:cs="FZFangSong-Z02"/>
                <w:b w:val="0"/>
                <w:bCs w:val="0"/>
                <w:color w:val="auto"/>
                <w:sz w:val="28"/>
                <w:szCs w:val="28"/>
                <w:highlight w:val="none"/>
                <w:lang w:val="en-US" w:eastAsia="zh-CN"/>
              </w:rPr>
              <w:t>4.2.2 中心村基本公共服务设施应集中布局，符合自治区、市相关规定，形成中心用地。公益性基本公共服务设施总建筑面积不应少于1200㎡。若农村社区人口规模达到5000人左右，可设置一所6班幼儿园。</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【删除条文】</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相关内容细化至乡村社区各类公共服务设施配置和选址要求中。</w:t>
            </w:r>
          </w:p>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p>
        </w:tc>
        <w:tc>
          <w:tcPr>
            <w:tcW w:w="1311"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4.2各类设施设置要求</w:t>
            </w:r>
            <w:bookmarkEnd w:id="123"/>
            <w:bookmarkEnd w:id="124"/>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4.2.1行政管理</w:t>
            </w:r>
            <w:bookmarkStart w:id="125" w:name="_Toc15734"/>
            <w:bookmarkStart w:id="126" w:name="_Toc22968"/>
            <w:r>
              <w:rPr>
                <w:rFonts w:hint="eastAsia" w:ascii="FZFangSong-Z02" w:hAnsi="FZFangSong-Z02" w:eastAsia="FZFangSong-Z02" w:cs="FZFangSong-Z02"/>
                <w:b w:val="0"/>
                <w:bCs w:val="0"/>
                <w:color w:val="FF0000"/>
                <w:sz w:val="28"/>
                <w:szCs w:val="28"/>
                <w:highlight w:val="none"/>
                <w:lang w:val="en-US" w:eastAsia="zh-CN"/>
              </w:rPr>
              <w:t>与服务设施</w:t>
            </w:r>
            <w:bookmarkEnd w:id="125"/>
            <w:bookmarkEnd w:id="126"/>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乡集镇层级的行政管理与服务设施包括乡镇服务室，村（组）层级的行政管理与服务设施包括村务室。</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镇服务室布局在交通便捷、人流相对集中的地方，可沿行政村主要道路，也可结合乡镇政府布局。村务室布局在交通便捷和人流集中的区域，村域面积较大、集中居民点较分散或用地紧张的村庄可多点设置，不同村组内分开设置相关用房和场地。</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乡镇服务室每个乡镇宜设置1处。村务室每个行政村宜设置1处，可根据功能分散设置。</w:t>
            </w:r>
          </w:p>
          <w:p>
            <w:pPr>
              <w:pStyle w:val="14"/>
              <w:keepNext w:val="0"/>
              <w:keepLines w:val="0"/>
              <w:pageBreakBefore w:val="0"/>
              <w:widowControl w:val="0"/>
              <w:kinsoku/>
              <w:wordWrap/>
              <w:overflowPunct/>
              <w:topLinePunct/>
              <w:autoSpaceDE/>
              <w:autoSpaceDN/>
              <w:bidi w:val="0"/>
              <w:adjustRightInd/>
              <w:snapToGrid/>
              <w:spacing w:line="240" w:lineRule="auto"/>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drawing>
                <wp:inline distT="0" distB="0" distL="114300" distR="114300">
                  <wp:extent cx="3746500" cy="1610360"/>
                  <wp:effectExtent l="0" t="0" r="6350" b="8890"/>
                  <wp:docPr id="18"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true"/>
                          </pic:cNvPicPr>
                        </pic:nvPicPr>
                        <pic:blipFill>
                          <a:blip r:embed="rId17"/>
                          <a:stretch>
                            <a:fillRect/>
                          </a:stretch>
                        </pic:blipFill>
                        <pic:spPr>
                          <a:xfrm>
                            <a:off x="0" y="0"/>
                            <a:ext cx="3746500" cy="1610360"/>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default" w:ascii="FZFangSong-Z02" w:hAnsi="FZFangSong-Z02" w:eastAsia="FZFangSong-Z02" w:cs="FZFangSong-Z02"/>
                <w:b w:val="0"/>
                <w:bCs w:val="0"/>
                <w:color w:val="auto"/>
                <w:sz w:val="28"/>
                <w:szCs w:val="28"/>
                <w:highlight w:val="none"/>
                <w:lang w:val="en-US" w:eastAsia="zh-CN"/>
              </w:rPr>
              <w:t>原指引的文字部分没有明确选址要求，在“表</w:t>
            </w:r>
            <w:r>
              <w:rPr>
                <w:rFonts w:hint="eastAsia" w:ascii="FZFangSong-Z02" w:hAnsi="FZFangSong-Z02" w:eastAsia="FZFangSong-Z02" w:cs="FZFangSong-Z02"/>
                <w:b w:val="0"/>
                <w:bCs w:val="0"/>
                <w:color w:val="auto"/>
                <w:sz w:val="28"/>
                <w:szCs w:val="28"/>
                <w:highlight w:val="none"/>
                <w:lang w:val="en-US" w:eastAsia="zh-CN"/>
              </w:rPr>
              <w:t>4</w:t>
            </w:r>
            <w:r>
              <w:rPr>
                <w:rFonts w:hint="default" w:ascii="FZFangSong-Z02" w:hAnsi="FZFangSong-Z02" w:eastAsia="FZFangSong-Z02" w:cs="FZFangSong-Z02"/>
                <w:b w:val="0"/>
                <w:bCs w:val="0"/>
                <w:color w:val="auto"/>
                <w:sz w:val="28"/>
                <w:szCs w:val="28"/>
                <w:highlight w:val="none"/>
                <w:lang w:val="en-US" w:eastAsia="zh-CN"/>
              </w:rPr>
              <w:t xml:space="preserve">-1 </w:t>
            </w:r>
            <w:r>
              <w:rPr>
                <w:rFonts w:hint="eastAsia" w:ascii="FZFangSong-Z02" w:hAnsi="FZFangSong-Z02" w:eastAsia="FZFangSong-Z02" w:cs="FZFangSong-Z02"/>
                <w:b w:val="0"/>
                <w:bCs w:val="0"/>
                <w:color w:val="auto"/>
                <w:sz w:val="28"/>
                <w:szCs w:val="28"/>
                <w:highlight w:val="none"/>
                <w:lang w:val="en-US" w:eastAsia="zh-CN"/>
              </w:rPr>
              <w:t>农村社区基本</w:t>
            </w:r>
            <w:r>
              <w:rPr>
                <w:rFonts w:hint="default" w:ascii="FZFangSong-Z02" w:hAnsi="FZFangSong-Z02" w:eastAsia="FZFangSong-Z02" w:cs="FZFangSong-Z02"/>
                <w:b w:val="0"/>
                <w:bCs w:val="0"/>
                <w:color w:val="auto"/>
                <w:sz w:val="28"/>
                <w:szCs w:val="28"/>
                <w:highlight w:val="none"/>
                <w:lang w:val="en-US" w:eastAsia="zh-CN"/>
              </w:rPr>
              <w:t>公共服务设施配置标准表”中明确了</w:t>
            </w:r>
            <w:r>
              <w:rPr>
                <w:rFonts w:hint="eastAsia" w:ascii="FZFangSong-Z02" w:hAnsi="FZFangSong-Z02" w:eastAsia="FZFangSong-Z02" w:cs="FZFangSong-Z02"/>
                <w:b w:val="0"/>
                <w:bCs w:val="0"/>
                <w:color w:val="auto"/>
                <w:sz w:val="28"/>
                <w:szCs w:val="28"/>
                <w:highlight w:val="none"/>
                <w:lang w:val="en-US" w:eastAsia="zh-CN"/>
              </w:rPr>
              <w:t>农村社区行政管理与公共服务用房</w:t>
            </w:r>
            <w:r>
              <w:rPr>
                <w:rFonts w:hint="default" w:ascii="FZFangSong-Z02" w:hAnsi="FZFangSong-Z02" w:eastAsia="FZFangSong-Z02" w:cs="FZFangSong-Z02"/>
                <w:b w:val="0"/>
                <w:bCs w:val="0"/>
                <w:color w:val="auto"/>
                <w:sz w:val="28"/>
                <w:szCs w:val="28"/>
                <w:highlight w:val="none"/>
                <w:lang w:val="en-US" w:eastAsia="zh-CN"/>
              </w:rPr>
              <w:t>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15"/>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依据《社区生活圈规划技术指南》对乡村社区行政管理与服务设施进行了细化。</w:t>
            </w:r>
          </w:p>
          <w:p>
            <w:pPr>
              <w:pStyle w:val="14"/>
              <w:keepNext w:val="0"/>
              <w:keepLines w:val="0"/>
              <w:pageBreakBefore w:val="0"/>
              <w:widowControl w:val="0"/>
              <w:numPr>
                <w:ilvl w:val="0"/>
                <w:numId w:val="15"/>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“选址要求”依据《社区生活圈规划技术指南》和我区实际情况细化。</w:t>
            </w:r>
          </w:p>
          <w:p>
            <w:pPr>
              <w:pStyle w:val="14"/>
              <w:keepNext w:val="0"/>
              <w:keepLines w:val="0"/>
              <w:pageBreakBefore w:val="0"/>
              <w:widowControl w:val="0"/>
              <w:numPr>
                <w:ilvl w:val="0"/>
                <w:numId w:val="15"/>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“设置标准”依据《社区生活圈规划技术指南》进行了修改。</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27" w:name="_Toc17401"/>
            <w:bookmarkStart w:id="128" w:name="_Toc25669"/>
            <w:r>
              <w:rPr>
                <w:rFonts w:hint="eastAsia" w:ascii="FZFangSong-Z02" w:hAnsi="FZFangSong-Z02" w:eastAsia="FZFangSong-Z02" w:cs="FZFangSong-Z02"/>
                <w:b w:val="0"/>
                <w:bCs w:val="0"/>
                <w:color w:val="FF0000"/>
                <w:sz w:val="28"/>
                <w:szCs w:val="28"/>
                <w:highlight w:val="none"/>
                <w:lang w:val="en-US" w:eastAsia="zh-CN"/>
              </w:rPr>
              <w:t>4.2.2教育设施</w:t>
            </w:r>
            <w:bookmarkEnd w:id="127"/>
            <w:bookmarkEnd w:id="128"/>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乡集镇级教育设施包括小学和幼儿园，村（组）级教育设施包括幼儿园。</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小学和幼儿园按照需求设置，小学可按照邻近村庄的千人学位数集中设置一处，选址应选在地质条件较好、环境适宜、交通方便、地形开阔、阳光充足、地势较高、具备必要基础设施的地段。</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rPr>
              <w:t>小学根据适龄就学人口、地理特点和交通条件因地制宜设置，按照方便学生、资源优化、注重效益的原则合理规划。</w:t>
            </w:r>
            <w:r>
              <w:rPr>
                <w:rFonts w:hint="eastAsia" w:ascii="FZFangSong-Z02" w:hAnsi="FZFangSong-Z02" w:eastAsia="FZFangSong-Z02" w:cs="FZFangSong-Z02"/>
                <w:b w:val="0"/>
                <w:bCs w:val="0"/>
                <w:color w:val="FF0000"/>
                <w:sz w:val="28"/>
                <w:szCs w:val="28"/>
                <w:highlight w:val="none"/>
                <w:lang w:val="en-US" w:eastAsia="zh-CN"/>
              </w:rPr>
              <w:t>幼儿园配置</w:t>
            </w:r>
            <w:r>
              <w:rPr>
                <w:rFonts w:hint="eastAsia" w:ascii="FZFangSong-Z02" w:hAnsi="FZFangSong-Z02" w:eastAsia="FZFangSong-Z02" w:cs="FZFangSong-Z02"/>
                <w:b w:val="0"/>
                <w:bCs w:val="0"/>
                <w:color w:val="FF0000"/>
                <w:sz w:val="28"/>
                <w:szCs w:val="28"/>
                <w:highlight w:val="none"/>
              </w:rPr>
              <w:t>根据</w:t>
            </w:r>
            <w:r>
              <w:rPr>
                <w:rFonts w:hint="eastAsia" w:ascii="FZFangSong-Z02" w:hAnsi="FZFangSong-Z02" w:eastAsia="FZFangSong-Z02" w:cs="FZFangSong-Z02"/>
                <w:b w:val="0"/>
                <w:bCs w:val="0"/>
                <w:color w:val="FF0000"/>
                <w:sz w:val="28"/>
                <w:szCs w:val="28"/>
                <w:highlight w:val="none"/>
                <w:lang w:val="en-US" w:eastAsia="zh-CN"/>
              </w:rPr>
              <w:t>常住人口确定，常住人口1500人以上的配置一处。校舍规模按照人均用地面积控制，其中小学人均用地面积不低于23平方米，幼儿园人均用地面积不低于15平方米。</w:t>
            </w:r>
          </w:p>
          <w:p>
            <w:pPr>
              <w:spacing w:line="240" w:lineRule="auto"/>
              <w:rPr>
                <w:rFonts w:hint="eastAsia"/>
                <w:highlight w:val="none"/>
                <w:lang w:val="en-US" w:eastAsia="zh-CN"/>
              </w:rPr>
            </w:pPr>
            <w:r>
              <w:drawing>
                <wp:inline distT="0" distB="0" distL="114300" distR="114300">
                  <wp:extent cx="3745865" cy="2343785"/>
                  <wp:effectExtent l="0" t="0" r="6985" b="18415"/>
                  <wp:docPr id="19"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true"/>
                          </pic:cNvPicPr>
                        </pic:nvPicPr>
                        <pic:blipFill>
                          <a:blip r:embed="rId18"/>
                          <a:stretch>
                            <a:fillRect/>
                          </a:stretch>
                        </pic:blipFill>
                        <pic:spPr>
                          <a:xfrm>
                            <a:off x="0" y="0"/>
                            <a:ext cx="3745865" cy="2343785"/>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default" w:ascii="FZFangSong-Z02" w:hAnsi="FZFangSong-Z02" w:eastAsia="FZFangSong-Z02" w:cs="FZFangSong-Z02"/>
                <w:b w:val="0"/>
                <w:bCs w:val="0"/>
                <w:color w:val="auto"/>
                <w:sz w:val="28"/>
                <w:szCs w:val="28"/>
                <w:highlight w:val="none"/>
                <w:lang w:val="en-US" w:eastAsia="zh-CN"/>
              </w:rPr>
              <w:t>原指引的文字部分没有明确选址要求，在“表</w:t>
            </w:r>
            <w:r>
              <w:rPr>
                <w:rFonts w:hint="eastAsia" w:ascii="FZFangSong-Z02" w:hAnsi="FZFangSong-Z02" w:eastAsia="FZFangSong-Z02" w:cs="FZFangSong-Z02"/>
                <w:b w:val="0"/>
                <w:bCs w:val="0"/>
                <w:color w:val="auto"/>
                <w:sz w:val="28"/>
                <w:szCs w:val="28"/>
                <w:highlight w:val="none"/>
                <w:lang w:val="en-US" w:eastAsia="zh-CN"/>
              </w:rPr>
              <w:t>4</w:t>
            </w:r>
            <w:r>
              <w:rPr>
                <w:rFonts w:hint="default" w:ascii="FZFangSong-Z02" w:hAnsi="FZFangSong-Z02" w:eastAsia="FZFangSong-Z02" w:cs="FZFangSong-Z02"/>
                <w:b w:val="0"/>
                <w:bCs w:val="0"/>
                <w:color w:val="auto"/>
                <w:sz w:val="28"/>
                <w:szCs w:val="28"/>
                <w:highlight w:val="none"/>
                <w:lang w:val="en-US" w:eastAsia="zh-CN"/>
              </w:rPr>
              <w:t xml:space="preserve">-1 </w:t>
            </w:r>
            <w:r>
              <w:rPr>
                <w:rFonts w:hint="eastAsia" w:ascii="FZFangSong-Z02" w:hAnsi="FZFangSong-Z02" w:eastAsia="FZFangSong-Z02" w:cs="FZFangSong-Z02"/>
                <w:b w:val="0"/>
                <w:bCs w:val="0"/>
                <w:color w:val="auto"/>
                <w:sz w:val="28"/>
                <w:szCs w:val="28"/>
                <w:highlight w:val="none"/>
                <w:lang w:val="en-US" w:eastAsia="zh-CN"/>
              </w:rPr>
              <w:t>农村社区基本</w:t>
            </w:r>
            <w:r>
              <w:rPr>
                <w:rFonts w:hint="default" w:ascii="FZFangSong-Z02" w:hAnsi="FZFangSong-Z02" w:eastAsia="FZFangSong-Z02" w:cs="FZFangSong-Z02"/>
                <w:b w:val="0"/>
                <w:bCs w:val="0"/>
                <w:color w:val="auto"/>
                <w:sz w:val="28"/>
                <w:szCs w:val="28"/>
                <w:highlight w:val="none"/>
                <w:lang w:val="en-US" w:eastAsia="zh-CN"/>
              </w:rPr>
              <w:t>公共服务设施配置标准表”中明确了</w:t>
            </w:r>
            <w:r>
              <w:rPr>
                <w:rFonts w:hint="eastAsia" w:ascii="FZFangSong-Z02" w:hAnsi="FZFangSong-Z02" w:eastAsia="FZFangSong-Z02" w:cs="FZFangSong-Z02"/>
                <w:b w:val="0"/>
                <w:bCs w:val="0"/>
                <w:color w:val="auto"/>
                <w:sz w:val="28"/>
                <w:szCs w:val="28"/>
                <w:highlight w:val="none"/>
                <w:lang w:val="en-US" w:eastAsia="zh-CN"/>
              </w:rPr>
              <w:t>农村社区幼儿园的</w:t>
            </w:r>
            <w:r>
              <w:rPr>
                <w:rFonts w:hint="default" w:ascii="FZFangSong-Z02" w:hAnsi="FZFangSong-Z02" w:eastAsia="FZFangSong-Z02" w:cs="FZFangSong-Z02"/>
                <w:b w:val="0"/>
                <w:bCs w:val="0"/>
                <w:color w:val="auto"/>
                <w:sz w:val="28"/>
                <w:szCs w:val="28"/>
                <w:highlight w:val="none"/>
                <w:lang w:val="en-US" w:eastAsia="zh-CN"/>
              </w:rPr>
              <w:t>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16"/>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按照《社区生活圈规划技术指南》，在分类中增加了小学。</w:t>
            </w:r>
          </w:p>
          <w:p>
            <w:pPr>
              <w:pStyle w:val="14"/>
              <w:keepNext w:val="0"/>
              <w:keepLines w:val="0"/>
              <w:pageBreakBefore w:val="0"/>
              <w:widowControl w:val="0"/>
              <w:numPr>
                <w:ilvl w:val="0"/>
                <w:numId w:val="16"/>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“选址要求”依据《农村普通中小学校建设标准》细化。</w:t>
            </w:r>
          </w:p>
          <w:p>
            <w:pPr>
              <w:pStyle w:val="14"/>
              <w:keepNext w:val="0"/>
              <w:keepLines w:val="0"/>
              <w:pageBreakBefore w:val="0"/>
              <w:widowControl w:val="0"/>
              <w:numPr>
                <w:ilvl w:val="0"/>
                <w:numId w:val="16"/>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“设置标准”依据《农村普通中小学校建设标准》和《宁夏回族自治区关于全区基础教育优化布局的指导意见》提出。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0"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29" w:name="_Toc1953"/>
            <w:bookmarkStart w:id="130" w:name="_Toc17080"/>
            <w:r>
              <w:rPr>
                <w:rFonts w:hint="eastAsia" w:ascii="FZFangSong-Z02" w:hAnsi="FZFangSong-Z02" w:eastAsia="FZFangSong-Z02" w:cs="FZFangSong-Z02"/>
                <w:b w:val="0"/>
                <w:bCs w:val="0"/>
                <w:color w:val="FF0000"/>
                <w:sz w:val="28"/>
                <w:szCs w:val="28"/>
                <w:highlight w:val="none"/>
                <w:lang w:val="en-US" w:eastAsia="zh-CN"/>
              </w:rPr>
              <w:t>4.2.3文化设施</w:t>
            </w:r>
            <w:bookmarkEnd w:id="129"/>
            <w:bookmarkEnd w:id="130"/>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乡集镇级的文化设施包括乡镇文化站，村组级的文化设施包括文化活动室和特色民俗活动点。</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w:t>
            </w:r>
            <w:bookmarkStart w:id="131" w:name="OLE_LINK3"/>
            <w:r>
              <w:rPr>
                <w:rFonts w:hint="eastAsia" w:ascii="FZFangSong-Z02" w:hAnsi="FZFangSong-Z02" w:eastAsia="FZFangSong-Z02" w:cs="FZFangSong-Z02"/>
                <w:b w:val="0"/>
                <w:bCs w:val="0"/>
                <w:color w:val="FF0000"/>
                <w:sz w:val="28"/>
                <w:szCs w:val="28"/>
                <w:highlight w:val="none"/>
                <w:lang w:val="en-US" w:eastAsia="zh-CN"/>
              </w:rPr>
              <w:t>选址</w:t>
            </w:r>
            <w:bookmarkEnd w:id="131"/>
            <w:r>
              <w:rPr>
                <w:rFonts w:hint="eastAsia" w:ascii="FZFangSong-Z02" w:hAnsi="FZFangSong-Z02" w:eastAsia="FZFangSong-Z02" w:cs="FZFangSong-Z02"/>
                <w:b w:val="0"/>
                <w:bCs w:val="0"/>
                <w:color w:val="FF0000"/>
                <w:sz w:val="28"/>
                <w:szCs w:val="28"/>
                <w:highlight w:val="none"/>
                <w:lang w:val="en-US" w:eastAsia="zh-CN"/>
              </w:rPr>
              <w:t>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乡镇文化站和村文化活动室宜结合社区其他管理用房或小区游园、健身广场建设。特色民俗活动点应布置在交通方便的位置，适合村民日常活动、办事、交往的需求。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乡镇文化站每个乡镇宜设置1处。文化活动室每个行政村宜设置1处，当村庄村组比较分散，可根据服务人口布局设置多处文化活动室。特色民俗活动点每个行政村宜设置1处。</w:t>
            </w:r>
          </w:p>
          <w:p>
            <w:pPr>
              <w:pStyle w:val="14"/>
              <w:keepNext w:val="0"/>
              <w:keepLines w:val="0"/>
              <w:pageBreakBefore w:val="0"/>
              <w:widowControl w:val="0"/>
              <w:kinsoku/>
              <w:wordWrap/>
              <w:overflowPunct/>
              <w:topLinePunct/>
              <w:autoSpaceDE/>
              <w:autoSpaceDN/>
              <w:bidi w:val="0"/>
              <w:adjustRightInd/>
              <w:snapToGrid/>
              <w:spacing w:line="240" w:lineRule="auto"/>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drawing>
                <wp:inline distT="0" distB="0" distL="114300" distR="114300">
                  <wp:extent cx="3745230" cy="1691640"/>
                  <wp:effectExtent l="0" t="0" r="7620" b="3810"/>
                  <wp:docPr id="20"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true"/>
                          </pic:cNvPicPr>
                        </pic:nvPicPr>
                        <pic:blipFill>
                          <a:blip r:embed="rId19"/>
                          <a:stretch>
                            <a:fillRect/>
                          </a:stretch>
                        </pic:blipFill>
                        <pic:spPr>
                          <a:xfrm>
                            <a:off x="0" y="0"/>
                            <a:ext cx="3745230" cy="1691640"/>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default" w:ascii="FZFangSong-Z02" w:hAnsi="FZFangSong-Z02" w:eastAsia="FZFangSong-Z02" w:cs="FZFangSong-Z02"/>
                <w:b w:val="0"/>
                <w:bCs w:val="0"/>
                <w:color w:val="auto"/>
                <w:sz w:val="28"/>
                <w:szCs w:val="28"/>
                <w:highlight w:val="none"/>
                <w:lang w:val="en-US" w:eastAsia="zh-CN"/>
              </w:rPr>
              <w:t>原指引的文字部分没有明确选址要求，在“表</w:t>
            </w:r>
            <w:r>
              <w:rPr>
                <w:rFonts w:hint="eastAsia" w:ascii="FZFangSong-Z02" w:hAnsi="FZFangSong-Z02" w:eastAsia="FZFangSong-Z02" w:cs="FZFangSong-Z02"/>
                <w:b w:val="0"/>
                <w:bCs w:val="0"/>
                <w:color w:val="auto"/>
                <w:sz w:val="28"/>
                <w:szCs w:val="28"/>
                <w:highlight w:val="none"/>
                <w:lang w:val="en-US" w:eastAsia="zh-CN"/>
              </w:rPr>
              <w:t>4</w:t>
            </w:r>
            <w:r>
              <w:rPr>
                <w:rFonts w:hint="default" w:ascii="FZFangSong-Z02" w:hAnsi="FZFangSong-Z02" w:eastAsia="FZFangSong-Z02" w:cs="FZFangSong-Z02"/>
                <w:b w:val="0"/>
                <w:bCs w:val="0"/>
                <w:color w:val="auto"/>
                <w:sz w:val="28"/>
                <w:szCs w:val="28"/>
                <w:highlight w:val="none"/>
                <w:lang w:val="en-US" w:eastAsia="zh-CN"/>
              </w:rPr>
              <w:t xml:space="preserve">-1 </w:t>
            </w:r>
            <w:r>
              <w:rPr>
                <w:rFonts w:hint="eastAsia" w:ascii="FZFangSong-Z02" w:hAnsi="FZFangSong-Z02" w:eastAsia="FZFangSong-Z02" w:cs="FZFangSong-Z02"/>
                <w:b w:val="0"/>
                <w:bCs w:val="0"/>
                <w:color w:val="auto"/>
                <w:sz w:val="28"/>
                <w:szCs w:val="28"/>
                <w:highlight w:val="none"/>
                <w:lang w:val="en-US" w:eastAsia="zh-CN"/>
              </w:rPr>
              <w:t>农村社区基本</w:t>
            </w:r>
            <w:r>
              <w:rPr>
                <w:rFonts w:hint="default" w:ascii="FZFangSong-Z02" w:hAnsi="FZFangSong-Z02" w:eastAsia="FZFangSong-Z02" w:cs="FZFangSong-Z02"/>
                <w:b w:val="0"/>
                <w:bCs w:val="0"/>
                <w:color w:val="auto"/>
                <w:sz w:val="28"/>
                <w:szCs w:val="28"/>
                <w:highlight w:val="none"/>
                <w:lang w:val="en-US" w:eastAsia="zh-CN"/>
              </w:rPr>
              <w:t>公共服务设施配置标准表”中明确了</w:t>
            </w:r>
            <w:r>
              <w:rPr>
                <w:rFonts w:hint="eastAsia" w:ascii="FZFangSong-Z02" w:hAnsi="FZFangSong-Z02" w:eastAsia="FZFangSong-Z02" w:cs="FZFangSong-Z02"/>
                <w:b w:val="0"/>
                <w:bCs w:val="0"/>
                <w:color w:val="auto"/>
                <w:sz w:val="28"/>
                <w:szCs w:val="28"/>
                <w:highlight w:val="none"/>
                <w:lang w:val="en-US" w:eastAsia="zh-CN"/>
              </w:rPr>
              <w:t>农村社区文化活动室的</w:t>
            </w:r>
            <w:r>
              <w:rPr>
                <w:rFonts w:hint="default" w:ascii="FZFangSong-Z02" w:hAnsi="FZFangSong-Z02" w:eastAsia="FZFangSong-Z02" w:cs="FZFangSong-Z02"/>
                <w:b w:val="0"/>
                <w:bCs w:val="0"/>
                <w:color w:val="auto"/>
                <w:sz w:val="28"/>
                <w:szCs w:val="28"/>
                <w:highlight w:val="none"/>
                <w:lang w:val="en-US" w:eastAsia="zh-CN"/>
              </w:rPr>
              <w:t>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 按照《社区生活圈规划技术指南》，对乡村社区中的文化设施分类进行修改。</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2. “选址要求”根据《社区生活圈规划技术指南》，结合地方实际需求细化。</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3. “设置标准”根据《社区生活圈规划技术指南》修改。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0" w:hRule="atLeast"/>
        </w:trPr>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32" w:name="_Toc27686"/>
            <w:bookmarkStart w:id="133" w:name="_Toc4839"/>
            <w:r>
              <w:rPr>
                <w:rFonts w:hint="eastAsia" w:ascii="FZFangSong-Z02" w:hAnsi="FZFangSong-Z02" w:eastAsia="FZFangSong-Z02" w:cs="FZFangSong-Z02"/>
                <w:b w:val="0"/>
                <w:bCs w:val="0"/>
                <w:color w:val="FF0000"/>
                <w:sz w:val="28"/>
                <w:szCs w:val="28"/>
                <w:highlight w:val="none"/>
                <w:lang w:val="en-US" w:eastAsia="zh-CN"/>
              </w:rPr>
              <w:t>4.2.4体育设施</w:t>
            </w:r>
            <w:bookmarkEnd w:id="132"/>
            <w:bookmarkEnd w:id="133"/>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乡集镇级的体育设施指综合健身场地，村组级的体育设施指健身广场。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综合健身场地和健身广场布局在方便、安全、对生活休息干扰小的地段，并便于场地管理，且宜与文化设施结合设置，也可结合闲置地、绿地设置。</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综合健身场地每个乡镇宜设置1处；健身广场每个行政村宜设置1处。</w:t>
            </w:r>
          </w:p>
          <w:p>
            <w:pPr>
              <w:spacing w:line="240" w:lineRule="auto"/>
              <w:rPr>
                <w:rFonts w:hint="eastAsia"/>
                <w:highlight w:val="none"/>
                <w:lang w:val="en-US" w:eastAsia="zh-CN"/>
              </w:rPr>
            </w:pPr>
            <w:r>
              <w:drawing>
                <wp:inline distT="0" distB="0" distL="114300" distR="114300">
                  <wp:extent cx="3748405" cy="1604645"/>
                  <wp:effectExtent l="0" t="0" r="4445" b="14605"/>
                  <wp:docPr id="21"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true"/>
                          </pic:cNvPicPr>
                        </pic:nvPicPr>
                        <pic:blipFill>
                          <a:blip r:embed="rId20"/>
                          <a:stretch>
                            <a:fillRect/>
                          </a:stretch>
                        </pic:blipFill>
                        <pic:spPr>
                          <a:xfrm>
                            <a:off x="0" y="0"/>
                            <a:ext cx="3748405" cy="1604645"/>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default" w:ascii="FZFangSong-Z02" w:hAnsi="FZFangSong-Z02" w:eastAsia="FZFangSong-Z02" w:cs="FZFangSong-Z02"/>
                <w:b w:val="0"/>
                <w:bCs w:val="0"/>
                <w:color w:val="auto"/>
                <w:sz w:val="28"/>
                <w:szCs w:val="28"/>
                <w:highlight w:val="none"/>
                <w:lang w:val="en-US" w:eastAsia="zh-CN"/>
              </w:rPr>
              <w:t>原指引的文字部分没有明确选址要求，在“表</w:t>
            </w:r>
            <w:r>
              <w:rPr>
                <w:rFonts w:hint="eastAsia" w:ascii="FZFangSong-Z02" w:hAnsi="FZFangSong-Z02" w:eastAsia="FZFangSong-Z02" w:cs="FZFangSong-Z02"/>
                <w:b w:val="0"/>
                <w:bCs w:val="0"/>
                <w:color w:val="auto"/>
                <w:sz w:val="28"/>
                <w:szCs w:val="28"/>
                <w:highlight w:val="none"/>
                <w:lang w:val="en-US" w:eastAsia="zh-CN"/>
              </w:rPr>
              <w:t>4</w:t>
            </w:r>
            <w:r>
              <w:rPr>
                <w:rFonts w:hint="default" w:ascii="FZFangSong-Z02" w:hAnsi="FZFangSong-Z02" w:eastAsia="FZFangSong-Z02" w:cs="FZFangSong-Z02"/>
                <w:b w:val="0"/>
                <w:bCs w:val="0"/>
                <w:color w:val="auto"/>
                <w:sz w:val="28"/>
                <w:szCs w:val="28"/>
                <w:highlight w:val="none"/>
                <w:lang w:val="en-US" w:eastAsia="zh-CN"/>
              </w:rPr>
              <w:t xml:space="preserve">-1 </w:t>
            </w:r>
            <w:r>
              <w:rPr>
                <w:rFonts w:hint="eastAsia" w:ascii="FZFangSong-Z02" w:hAnsi="FZFangSong-Z02" w:eastAsia="FZFangSong-Z02" w:cs="FZFangSong-Z02"/>
                <w:b w:val="0"/>
                <w:bCs w:val="0"/>
                <w:color w:val="auto"/>
                <w:sz w:val="28"/>
                <w:szCs w:val="28"/>
                <w:highlight w:val="none"/>
                <w:lang w:val="en-US" w:eastAsia="zh-CN"/>
              </w:rPr>
              <w:t>农村社区基本</w:t>
            </w:r>
            <w:r>
              <w:rPr>
                <w:rFonts w:hint="default" w:ascii="FZFangSong-Z02" w:hAnsi="FZFangSong-Z02" w:eastAsia="FZFangSong-Z02" w:cs="FZFangSong-Z02"/>
                <w:b w:val="0"/>
                <w:bCs w:val="0"/>
                <w:color w:val="auto"/>
                <w:sz w:val="28"/>
                <w:szCs w:val="28"/>
                <w:highlight w:val="none"/>
                <w:lang w:val="en-US" w:eastAsia="zh-CN"/>
              </w:rPr>
              <w:t>公共服务设施配置标准表”中明确了</w:t>
            </w:r>
            <w:r>
              <w:rPr>
                <w:rFonts w:hint="eastAsia" w:ascii="FZFangSong-Z02" w:hAnsi="FZFangSong-Z02" w:eastAsia="FZFangSong-Z02" w:cs="FZFangSong-Z02"/>
                <w:b w:val="0"/>
                <w:bCs w:val="0"/>
                <w:color w:val="auto"/>
                <w:sz w:val="28"/>
                <w:szCs w:val="28"/>
                <w:highlight w:val="none"/>
                <w:lang w:val="en-US" w:eastAsia="zh-CN"/>
              </w:rPr>
              <w:t>农村社区建设体育健身设施的</w:t>
            </w:r>
            <w:r>
              <w:rPr>
                <w:rFonts w:hint="default" w:ascii="FZFangSong-Z02" w:hAnsi="FZFangSong-Z02" w:eastAsia="FZFangSong-Z02" w:cs="FZFangSong-Z02"/>
                <w:b w:val="0"/>
                <w:bCs w:val="0"/>
                <w:color w:val="auto"/>
                <w:sz w:val="28"/>
                <w:szCs w:val="28"/>
                <w:highlight w:val="none"/>
                <w:lang w:val="en-US" w:eastAsia="zh-CN"/>
              </w:rPr>
              <w:t>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default"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 按照《社区生活圈规划技术指南》，对乡村社区中的体育设施分类进行修改。</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2. “选址要求”根据《社区生活圈规划技术指南》，结合地方实际需求细化。</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3. “设置标准”根据《社区生活圈规划技术指南》修改。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34" w:name="_Toc6902"/>
            <w:bookmarkStart w:id="135" w:name="_Toc9292"/>
            <w:r>
              <w:rPr>
                <w:rFonts w:hint="eastAsia" w:ascii="FZFangSong-Z02" w:hAnsi="FZFangSong-Z02" w:eastAsia="FZFangSong-Z02" w:cs="FZFangSong-Z02"/>
                <w:b w:val="0"/>
                <w:bCs w:val="0"/>
                <w:color w:val="FF0000"/>
                <w:sz w:val="28"/>
                <w:szCs w:val="28"/>
                <w:highlight w:val="none"/>
                <w:lang w:val="en-US" w:eastAsia="zh-CN"/>
              </w:rPr>
              <w:t>4.2.5医疗卫生设施</w:t>
            </w:r>
            <w:bookmarkEnd w:id="134"/>
            <w:bookmarkEnd w:id="135"/>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乡集镇级的医疗卫生设施包括乡镇卫生院，村组级的医疗卫生设施包括村卫生室。</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乡镇卫生院应设置在交通方便、环境安静地段。村卫生室宜与社区公共服务、社会福利与保障、文化等其他服务用房设施统筹规划设置。</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乡镇卫生院每个乡镇设置1处。村卫生室每个行政村设置1处，村域面积较大或集中居民点较分散的情况下可多点设置。</w:t>
            </w:r>
          </w:p>
          <w:p>
            <w:pPr>
              <w:spacing w:line="240" w:lineRule="auto"/>
              <w:rPr>
                <w:rFonts w:hint="eastAsia"/>
                <w:highlight w:val="none"/>
                <w:lang w:val="en-US" w:eastAsia="zh-CN"/>
              </w:rPr>
            </w:pPr>
            <w:r>
              <w:drawing>
                <wp:inline distT="0" distB="0" distL="114300" distR="114300">
                  <wp:extent cx="3748405" cy="1344930"/>
                  <wp:effectExtent l="0" t="0" r="4445" b="7620"/>
                  <wp:docPr id="22"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true"/>
                          </pic:cNvPicPr>
                        </pic:nvPicPr>
                        <pic:blipFill>
                          <a:blip r:embed="rId21"/>
                          <a:stretch>
                            <a:fillRect/>
                          </a:stretch>
                        </pic:blipFill>
                        <pic:spPr>
                          <a:xfrm>
                            <a:off x="0" y="0"/>
                            <a:ext cx="3748405" cy="1344930"/>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kern w:val="0"/>
                <w:sz w:val="28"/>
                <w:szCs w:val="28"/>
                <w:highlight w:val="none"/>
                <w:lang w:val="en-US" w:eastAsia="zh-CN" w:bidi="ar-SA"/>
              </w:rPr>
            </w:pPr>
            <w:r>
              <w:rPr>
                <w:rFonts w:hint="default" w:ascii="FZFangSong-Z02" w:hAnsi="FZFangSong-Z02" w:eastAsia="FZFangSong-Z02" w:cs="FZFangSong-Z02"/>
                <w:b w:val="0"/>
                <w:bCs w:val="0"/>
                <w:color w:val="auto"/>
                <w:sz w:val="28"/>
                <w:szCs w:val="28"/>
                <w:highlight w:val="none"/>
                <w:lang w:val="en-US" w:eastAsia="zh-CN"/>
              </w:rPr>
              <w:t>原指引的文字部分没有明确选址要求，在“表</w:t>
            </w:r>
            <w:r>
              <w:rPr>
                <w:rFonts w:hint="eastAsia" w:ascii="FZFangSong-Z02" w:hAnsi="FZFangSong-Z02" w:eastAsia="FZFangSong-Z02" w:cs="FZFangSong-Z02"/>
                <w:b w:val="0"/>
                <w:bCs w:val="0"/>
                <w:color w:val="auto"/>
                <w:sz w:val="28"/>
                <w:szCs w:val="28"/>
                <w:highlight w:val="none"/>
                <w:lang w:val="en-US" w:eastAsia="zh-CN"/>
              </w:rPr>
              <w:t>4</w:t>
            </w:r>
            <w:r>
              <w:rPr>
                <w:rFonts w:hint="default" w:ascii="FZFangSong-Z02" w:hAnsi="FZFangSong-Z02" w:eastAsia="FZFangSong-Z02" w:cs="FZFangSong-Z02"/>
                <w:b w:val="0"/>
                <w:bCs w:val="0"/>
                <w:color w:val="auto"/>
                <w:sz w:val="28"/>
                <w:szCs w:val="28"/>
                <w:highlight w:val="none"/>
                <w:lang w:val="en-US" w:eastAsia="zh-CN"/>
              </w:rPr>
              <w:t xml:space="preserve">-1 </w:t>
            </w:r>
            <w:r>
              <w:rPr>
                <w:rFonts w:hint="eastAsia" w:ascii="FZFangSong-Z02" w:hAnsi="FZFangSong-Z02" w:eastAsia="FZFangSong-Z02" w:cs="FZFangSong-Z02"/>
                <w:b w:val="0"/>
                <w:bCs w:val="0"/>
                <w:color w:val="auto"/>
                <w:sz w:val="28"/>
                <w:szCs w:val="28"/>
                <w:highlight w:val="none"/>
                <w:lang w:val="en-US" w:eastAsia="zh-CN"/>
              </w:rPr>
              <w:t>农村社区基本</w:t>
            </w:r>
            <w:r>
              <w:rPr>
                <w:rFonts w:hint="default" w:ascii="FZFangSong-Z02" w:hAnsi="FZFangSong-Z02" w:eastAsia="FZFangSong-Z02" w:cs="FZFangSong-Z02"/>
                <w:b w:val="0"/>
                <w:bCs w:val="0"/>
                <w:color w:val="auto"/>
                <w:sz w:val="28"/>
                <w:szCs w:val="28"/>
                <w:highlight w:val="none"/>
                <w:lang w:val="en-US" w:eastAsia="zh-CN"/>
              </w:rPr>
              <w:t>公共服务设施配置标准表”中明确了</w:t>
            </w:r>
            <w:r>
              <w:rPr>
                <w:rFonts w:hint="eastAsia" w:ascii="FZFangSong-Z02" w:hAnsi="FZFangSong-Z02" w:eastAsia="FZFangSong-Z02" w:cs="FZFangSong-Z02"/>
                <w:b w:val="0"/>
                <w:bCs w:val="0"/>
                <w:color w:val="auto"/>
                <w:sz w:val="28"/>
                <w:szCs w:val="28"/>
                <w:highlight w:val="none"/>
                <w:lang w:val="en-US" w:eastAsia="zh-CN"/>
              </w:rPr>
              <w:t>农村社区建设卫生室的</w:t>
            </w:r>
            <w:r>
              <w:rPr>
                <w:rFonts w:hint="default" w:ascii="FZFangSong-Z02" w:hAnsi="FZFangSong-Z02" w:eastAsia="FZFangSong-Z02" w:cs="FZFangSong-Z02"/>
                <w:b w:val="0"/>
                <w:bCs w:val="0"/>
                <w:color w:val="auto"/>
                <w:sz w:val="28"/>
                <w:szCs w:val="28"/>
                <w:highlight w:val="none"/>
                <w:lang w:val="en-US" w:eastAsia="zh-CN"/>
              </w:rPr>
              <w:t>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1. “选址要求”根据《社区生活圈规划技术指南》，结合实际需求细化。</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2. “设置标准”《社区生活圈规划技术指南》修改。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36" w:name="_Toc10065"/>
            <w:bookmarkStart w:id="137" w:name="_Toc11834"/>
            <w:r>
              <w:rPr>
                <w:rFonts w:hint="eastAsia" w:ascii="FZFangSong-Z02" w:hAnsi="FZFangSong-Z02" w:eastAsia="FZFangSong-Z02" w:cs="FZFangSong-Z02"/>
                <w:b w:val="0"/>
                <w:bCs w:val="0"/>
                <w:color w:val="FF0000"/>
                <w:sz w:val="28"/>
                <w:szCs w:val="28"/>
                <w:highlight w:val="none"/>
                <w:lang w:val="en-US" w:eastAsia="zh-CN"/>
              </w:rPr>
              <w:t>4.2.6</w:t>
            </w:r>
            <w:bookmarkEnd w:id="136"/>
            <w:bookmarkEnd w:id="137"/>
            <w:r>
              <w:rPr>
                <w:rFonts w:hint="eastAsia" w:ascii="FZFangSong-Z02" w:hAnsi="FZFangSong-Z02" w:eastAsia="FZFangSong-Z02" w:cs="FZFangSong-Z02"/>
                <w:b w:val="0"/>
                <w:bCs w:val="0"/>
                <w:color w:val="FF0000"/>
                <w:sz w:val="28"/>
                <w:szCs w:val="28"/>
                <w:highlight w:val="none"/>
                <w:lang w:val="en-US" w:eastAsia="zh-CN"/>
              </w:rPr>
              <w:t>社会福利与保障设施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乡集镇级的社会福利与保障设施包括老年活动室和老年人日间照料中心（托老所），村组级的社会福利与保障设施包括老年活动室、老年人日间照料中心和村级幸福院。</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（2）选址要求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社会福利与保障设施应设置在服务对象集中、地形平坦、环境安静的地段，与其他建筑合建时，应设置在建筑首层且相对独立，并有独立出入口，符合适老化无障碍通行要求。</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（3）设置标准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老年活动室和老年人日间照料中心（托老所）每个乡镇宜设置1处；村级幸福院每个行政村宜设置1处。</w:t>
            </w:r>
          </w:p>
          <w:p>
            <w:pPr>
              <w:spacing w:line="240" w:lineRule="auto"/>
              <w:rPr>
                <w:rFonts w:hint="eastAsia"/>
                <w:highlight w:val="none"/>
                <w:lang w:val="en-US" w:eastAsia="zh-CN"/>
              </w:rPr>
            </w:pPr>
            <w:r>
              <w:drawing>
                <wp:inline distT="0" distB="0" distL="114300" distR="114300">
                  <wp:extent cx="3748405" cy="1870710"/>
                  <wp:effectExtent l="0" t="0" r="4445" b="15240"/>
                  <wp:docPr id="27"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12"/>
                          <pic:cNvPicPr>
                            <a:picLocks noChangeAspect="true"/>
                          </pic:cNvPicPr>
                        </pic:nvPicPr>
                        <pic:blipFill>
                          <a:blip r:embed="rId22"/>
                          <a:stretch>
                            <a:fillRect/>
                          </a:stretch>
                        </pic:blipFill>
                        <pic:spPr>
                          <a:xfrm>
                            <a:off x="0" y="0"/>
                            <a:ext cx="3748405" cy="1870710"/>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default" w:ascii="FZFangSong-Z02" w:hAnsi="FZFangSong-Z02" w:eastAsia="FZFangSong-Z02" w:cs="FZFangSong-Z02"/>
                <w:b w:val="0"/>
                <w:bCs w:val="0"/>
                <w:color w:val="auto"/>
                <w:sz w:val="28"/>
                <w:szCs w:val="28"/>
                <w:highlight w:val="none"/>
                <w:lang w:val="en-US" w:eastAsia="zh-CN"/>
              </w:rPr>
              <w:t>原指引的文字部分没有明确选址要求，在“表</w:t>
            </w:r>
            <w:r>
              <w:rPr>
                <w:rFonts w:hint="eastAsia" w:ascii="FZFangSong-Z02" w:hAnsi="FZFangSong-Z02" w:eastAsia="FZFangSong-Z02" w:cs="FZFangSong-Z02"/>
                <w:b w:val="0"/>
                <w:bCs w:val="0"/>
                <w:color w:val="auto"/>
                <w:sz w:val="28"/>
                <w:szCs w:val="28"/>
                <w:highlight w:val="none"/>
                <w:lang w:val="en-US" w:eastAsia="zh-CN"/>
              </w:rPr>
              <w:t>4</w:t>
            </w:r>
            <w:r>
              <w:rPr>
                <w:rFonts w:hint="default" w:ascii="FZFangSong-Z02" w:hAnsi="FZFangSong-Z02" w:eastAsia="FZFangSong-Z02" w:cs="FZFangSong-Z02"/>
                <w:b w:val="0"/>
                <w:bCs w:val="0"/>
                <w:color w:val="auto"/>
                <w:sz w:val="28"/>
                <w:szCs w:val="28"/>
                <w:highlight w:val="none"/>
                <w:lang w:val="en-US" w:eastAsia="zh-CN"/>
              </w:rPr>
              <w:t xml:space="preserve">-1 </w:t>
            </w:r>
            <w:r>
              <w:rPr>
                <w:rFonts w:hint="eastAsia" w:ascii="FZFangSong-Z02" w:hAnsi="FZFangSong-Z02" w:eastAsia="FZFangSong-Z02" w:cs="FZFangSong-Z02"/>
                <w:b w:val="0"/>
                <w:bCs w:val="0"/>
                <w:color w:val="auto"/>
                <w:sz w:val="28"/>
                <w:szCs w:val="28"/>
                <w:highlight w:val="none"/>
                <w:lang w:val="en-US" w:eastAsia="zh-CN"/>
              </w:rPr>
              <w:t>农村社区基本</w:t>
            </w:r>
            <w:r>
              <w:rPr>
                <w:rFonts w:hint="default" w:ascii="FZFangSong-Z02" w:hAnsi="FZFangSong-Z02" w:eastAsia="FZFangSong-Z02" w:cs="FZFangSong-Z02"/>
                <w:b w:val="0"/>
                <w:bCs w:val="0"/>
                <w:color w:val="auto"/>
                <w:sz w:val="28"/>
                <w:szCs w:val="28"/>
                <w:highlight w:val="none"/>
                <w:lang w:val="en-US" w:eastAsia="zh-CN"/>
              </w:rPr>
              <w:t>公共服务设施配置标准表”中明确了</w:t>
            </w:r>
            <w:r>
              <w:rPr>
                <w:rFonts w:hint="eastAsia" w:ascii="FZFangSong-Z02" w:hAnsi="FZFangSong-Z02" w:eastAsia="FZFangSong-Z02" w:cs="FZFangSong-Z02"/>
                <w:b w:val="0"/>
                <w:bCs w:val="0"/>
                <w:color w:val="auto"/>
                <w:sz w:val="28"/>
                <w:szCs w:val="28"/>
                <w:highlight w:val="none"/>
                <w:lang w:val="en-US" w:eastAsia="zh-CN"/>
              </w:rPr>
              <w:t>农村社区建设社会福利与保障设施即托老所的</w:t>
            </w:r>
            <w:r>
              <w:rPr>
                <w:rFonts w:hint="default" w:ascii="FZFangSong-Z02" w:hAnsi="FZFangSong-Z02" w:eastAsia="FZFangSong-Z02" w:cs="FZFangSong-Z02"/>
                <w:b w:val="0"/>
                <w:bCs w:val="0"/>
                <w:color w:val="auto"/>
                <w:sz w:val="28"/>
                <w:szCs w:val="28"/>
                <w:highlight w:val="none"/>
                <w:lang w:val="en-US" w:eastAsia="zh-CN"/>
              </w:rPr>
              <w:t>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17"/>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“分类”依据《社区生活圈规划技术指南》修改。</w:t>
            </w:r>
          </w:p>
          <w:p>
            <w:pPr>
              <w:pStyle w:val="14"/>
              <w:keepNext w:val="0"/>
              <w:keepLines w:val="0"/>
              <w:pageBreakBefore w:val="0"/>
              <w:widowControl w:val="0"/>
              <w:numPr>
                <w:ilvl w:val="0"/>
                <w:numId w:val="17"/>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“选址要求”依据《社区生活圈规划技术指南》，结合实际需求细化。</w:t>
            </w:r>
          </w:p>
          <w:p>
            <w:pPr>
              <w:pStyle w:val="14"/>
              <w:keepNext w:val="0"/>
              <w:keepLines w:val="0"/>
              <w:pageBreakBefore w:val="0"/>
              <w:widowControl w:val="0"/>
              <w:numPr>
                <w:ilvl w:val="0"/>
                <w:numId w:val="17"/>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“设置标准”依据《社区生活圈规划技术指南》《民政部 自然资源部关于加强养老服务设施布局规划编制工作的通知》提出。</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8"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bookmarkStart w:id="138" w:name="_Toc28185"/>
            <w:bookmarkStart w:id="139" w:name="_Toc19009"/>
            <w:r>
              <w:rPr>
                <w:rFonts w:hint="eastAsia" w:ascii="FZFangSong-Z02" w:hAnsi="FZFangSong-Z02" w:eastAsia="FZFangSong-Z02" w:cs="FZFangSong-Z02"/>
                <w:b w:val="0"/>
                <w:bCs w:val="0"/>
                <w:color w:val="FF0000"/>
                <w:sz w:val="28"/>
                <w:szCs w:val="28"/>
                <w:highlight w:val="none"/>
                <w:lang w:val="en-US" w:eastAsia="zh-CN"/>
              </w:rPr>
              <w:t>4.2.7其他设施</w:t>
            </w:r>
            <w:bookmarkEnd w:id="138"/>
            <w:bookmarkEnd w:id="139"/>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（1）分类</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乡集镇级的其他设施包括生活垃圾中转站、公共厕所；村组级的其他设施包括生活垃圾收集站、公共厕所、小型排污设施。</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（2）设置标准</w:t>
            </w:r>
          </w:p>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val="0"/>
                <w:bCs w:val="0"/>
                <w:color w:val="FF0000"/>
                <w:sz w:val="28"/>
                <w:szCs w:val="28"/>
                <w:highlight w:val="none"/>
                <w:lang w:val="en-US" w:eastAsia="zh-CN"/>
              </w:rPr>
              <w:t>其他设施按照国家、自治区对相关设施的设置标准及专业规划设置进行配置。</w:t>
            </w:r>
          </w:p>
          <w:p>
            <w:pPr>
              <w:spacing w:line="240" w:lineRule="auto"/>
              <w:rPr>
                <w:rFonts w:hint="eastAsia"/>
                <w:highlight w:val="none"/>
                <w:lang w:val="en-US" w:eastAsia="zh-CN"/>
              </w:rPr>
            </w:pPr>
            <w:r>
              <w:drawing>
                <wp:inline distT="0" distB="0" distL="114300" distR="114300">
                  <wp:extent cx="3746500" cy="2458085"/>
                  <wp:effectExtent l="0" t="0" r="6350" b="18415"/>
                  <wp:docPr id="24"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9"/>
                          <pic:cNvPicPr>
                            <a:picLocks noChangeAspect="true"/>
                          </pic:cNvPicPr>
                        </pic:nvPicPr>
                        <pic:blipFill>
                          <a:blip r:embed="rId23"/>
                          <a:stretch>
                            <a:fillRect/>
                          </a:stretch>
                        </pic:blipFill>
                        <pic:spPr>
                          <a:xfrm>
                            <a:off x="0" y="0"/>
                            <a:ext cx="3746500" cy="2458085"/>
                          </a:xfrm>
                          <a:prstGeom prst="rect">
                            <a:avLst/>
                          </a:prstGeom>
                          <a:noFill/>
                          <a:ln>
                            <a:noFill/>
                          </a:ln>
                        </pic:spPr>
                      </pic:pic>
                    </a:graphicData>
                  </a:graphic>
                </wp:inline>
              </w:drawing>
            </w:r>
          </w:p>
        </w:tc>
        <w:tc>
          <w:tcPr>
            <w:tcW w:w="1510" w:type="pct"/>
            <w:noWrap w:val="0"/>
            <w:vAlign w:val="center"/>
          </w:tcPr>
          <w:p>
            <w:pPr>
              <w:pStyle w:val="14"/>
              <w:keepNext w:val="0"/>
              <w:keepLines w:val="0"/>
              <w:pageBreakBefore w:val="0"/>
              <w:widowControl w:val="0"/>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color w:val="auto"/>
                <w:sz w:val="28"/>
                <w:szCs w:val="28"/>
                <w:highlight w:val="none"/>
                <w:lang w:val="en-US" w:eastAsia="zh-CN"/>
              </w:rPr>
            </w:pPr>
            <w:r>
              <w:rPr>
                <w:rFonts w:hint="default" w:ascii="FZFangSong-Z02" w:hAnsi="FZFangSong-Z02" w:eastAsia="FZFangSong-Z02" w:cs="FZFangSong-Z02"/>
                <w:b w:val="0"/>
                <w:bCs w:val="0"/>
                <w:color w:val="auto"/>
                <w:sz w:val="28"/>
                <w:szCs w:val="28"/>
                <w:highlight w:val="none"/>
                <w:lang w:val="en-US" w:eastAsia="zh-CN"/>
              </w:rPr>
              <w:t>原指引的文字部分没有明确选址要求，在“表</w:t>
            </w:r>
            <w:r>
              <w:rPr>
                <w:rFonts w:hint="eastAsia" w:ascii="FZFangSong-Z02" w:hAnsi="FZFangSong-Z02" w:eastAsia="FZFangSong-Z02" w:cs="FZFangSong-Z02"/>
                <w:b w:val="0"/>
                <w:bCs w:val="0"/>
                <w:color w:val="auto"/>
                <w:sz w:val="28"/>
                <w:szCs w:val="28"/>
                <w:highlight w:val="none"/>
                <w:lang w:val="en-US" w:eastAsia="zh-CN"/>
              </w:rPr>
              <w:t>4</w:t>
            </w:r>
            <w:r>
              <w:rPr>
                <w:rFonts w:hint="default" w:ascii="FZFangSong-Z02" w:hAnsi="FZFangSong-Z02" w:eastAsia="FZFangSong-Z02" w:cs="FZFangSong-Z02"/>
                <w:b w:val="0"/>
                <w:bCs w:val="0"/>
                <w:color w:val="auto"/>
                <w:sz w:val="28"/>
                <w:szCs w:val="28"/>
                <w:highlight w:val="none"/>
                <w:lang w:val="en-US" w:eastAsia="zh-CN"/>
              </w:rPr>
              <w:t xml:space="preserve">-1 </w:t>
            </w:r>
            <w:r>
              <w:rPr>
                <w:rFonts w:hint="eastAsia" w:ascii="FZFangSong-Z02" w:hAnsi="FZFangSong-Z02" w:eastAsia="FZFangSong-Z02" w:cs="FZFangSong-Z02"/>
                <w:b w:val="0"/>
                <w:bCs w:val="0"/>
                <w:color w:val="auto"/>
                <w:sz w:val="28"/>
                <w:szCs w:val="28"/>
                <w:highlight w:val="none"/>
                <w:lang w:val="en-US" w:eastAsia="zh-CN"/>
              </w:rPr>
              <w:t>农村社区基本</w:t>
            </w:r>
            <w:r>
              <w:rPr>
                <w:rFonts w:hint="default" w:ascii="FZFangSong-Z02" w:hAnsi="FZFangSong-Z02" w:eastAsia="FZFangSong-Z02" w:cs="FZFangSong-Z02"/>
                <w:b w:val="0"/>
                <w:bCs w:val="0"/>
                <w:color w:val="auto"/>
                <w:sz w:val="28"/>
                <w:szCs w:val="28"/>
                <w:highlight w:val="none"/>
                <w:lang w:val="en-US" w:eastAsia="zh-CN"/>
              </w:rPr>
              <w:t>公共服务设施配置标准表”中明确了</w:t>
            </w:r>
            <w:r>
              <w:rPr>
                <w:rFonts w:hint="eastAsia" w:ascii="FZFangSong-Z02" w:hAnsi="FZFangSong-Z02" w:eastAsia="FZFangSong-Z02" w:cs="FZFangSong-Z02"/>
                <w:b w:val="0"/>
                <w:bCs w:val="0"/>
                <w:color w:val="auto"/>
                <w:sz w:val="28"/>
                <w:szCs w:val="28"/>
                <w:highlight w:val="none"/>
                <w:lang w:val="en-US" w:eastAsia="zh-CN"/>
              </w:rPr>
              <w:t>农村社区建设菜市场、生活日用品超市、农资超市、垃圾收集点、公厕、液化石油气瓶装供应站、邮政代办点（农村邮政加盟店）、电信代办点的</w:t>
            </w:r>
            <w:r>
              <w:rPr>
                <w:rFonts w:hint="default" w:ascii="FZFangSong-Z02" w:hAnsi="FZFangSong-Z02" w:eastAsia="FZFangSong-Z02" w:cs="FZFangSong-Z02"/>
                <w:b w:val="0"/>
                <w:bCs w:val="0"/>
                <w:color w:val="auto"/>
                <w:sz w:val="28"/>
                <w:szCs w:val="28"/>
                <w:highlight w:val="none"/>
                <w:lang w:val="en-US" w:eastAsia="zh-CN"/>
              </w:rPr>
              <w:t>配置要求。</w:t>
            </w:r>
          </w:p>
        </w:tc>
        <w:tc>
          <w:tcPr>
            <w:tcW w:w="1311" w:type="pct"/>
            <w:noWrap w:val="0"/>
            <w:vAlign w:val="center"/>
          </w:tcPr>
          <w:p>
            <w:pPr>
              <w:pStyle w:val="14"/>
              <w:keepNext w:val="0"/>
              <w:keepLines w:val="0"/>
              <w:pageBreakBefore w:val="0"/>
              <w:widowControl w:val="0"/>
              <w:numPr>
                <w:ilvl w:val="0"/>
                <w:numId w:val="0"/>
              </w:numPr>
              <w:kinsoku/>
              <w:wordWrap/>
              <w:overflowPunct/>
              <w:topLinePunct/>
              <w:autoSpaceDE/>
              <w:autoSpaceDN/>
              <w:bidi w:val="0"/>
              <w:adjustRightInd/>
              <w:snapToGrid/>
              <w:spacing w:line="300" w:lineRule="exact"/>
              <w:jc w:val="both"/>
              <w:textAlignment w:val="auto"/>
              <w:rPr>
                <w:rFonts w:hint="eastAsia" w:ascii="FZFangSong-Z02" w:hAnsi="FZFangSong-Z02" w:eastAsia="FZFangSong-Z02" w:cs="FZFangSong-Z02"/>
                <w:b w:val="0"/>
                <w:bCs w:val="0"/>
                <w:color w:val="FF0000"/>
                <w:sz w:val="28"/>
                <w:szCs w:val="28"/>
                <w:highlight w:val="none"/>
                <w:lang w:val="en-US" w:eastAsia="zh-CN"/>
              </w:rPr>
            </w:pPr>
            <w:r>
              <w:rPr>
                <w:rFonts w:hint="eastAsia" w:ascii="FZFangSong-Z02" w:hAnsi="FZFangSong-Z02" w:eastAsia="FZFangSong-Z02" w:cs="FZFangSong-Z02"/>
                <w:b/>
                <w:bCs/>
                <w:color w:val="auto"/>
                <w:sz w:val="28"/>
                <w:szCs w:val="28"/>
                <w:highlight w:val="none"/>
                <w:lang w:val="en-US" w:eastAsia="zh-CN"/>
              </w:rPr>
              <w:t>【调整条文】</w:t>
            </w:r>
          </w:p>
          <w:p>
            <w:pPr>
              <w:pStyle w:val="14"/>
              <w:keepNext w:val="0"/>
              <w:keepLines w:val="0"/>
              <w:pageBreakBefore w:val="0"/>
              <w:widowControl w:val="0"/>
              <w:numPr>
                <w:ilvl w:val="0"/>
                <w:numId w:val="18"/>
              </w:numPr>
              <w:kinsoku/>
              <w:wordWrap/>
              <w:overflowPunct/>
              <w:topLinePunct/>
              <w:autoSpaceDE/>
              <w:autoSpaceDN/>
              <w:bidi w:val="0"/>
              <w:adjustRightInd/>
              <w:snapToGrid/>
              <w:spacing w:line="300" w:lineRule="exact"/>
              <w:ind w:firstLine="0" w:firstLineChars="0"/>
              <w:jc w:val="both"/>
              <w:textAlignment w:val="auto"/>
              <w:rPr>
                <w:rFonts w:hint="eastAsia" w:ascii="FZFangSong-Z02" w:hAnsi="FZFangSong-Z02" w:eastAsia="FZFangSong-Z02" w:cs="FZFangSong-Z02"/>
                <w:b w:val="0"/>
                <w:bCs w:val="0"/>
                <w:sz w:val="28"/>
                <w:szCs w:val="28"/>
                <w:highlight w:val="none"/>
                <w:lang w:val="en-US" w:eastAsia="zh-CN"/>
              </w:rPr>
            </w:pPr>
            <w:r>
              <w:rPr>
                <w:rFonts w:hint="eastAsia" w:ascii="FZFangSong-Z02" w:hAnsi="FZFangSong-Z02" w:eastAsia="FZFangSong-Z02" w:cs="FZFangSong-Z02"/>
                <w:b w:val="0"/>
                <w:bCs w:val="0"/>
                <w:sz w:val="28"/>
                <w:szCs w:val="28"/>
                <w:highlight w:val="none"/>
                <w:lang w:val="en-US" w:eastAsia="zh-CN"/>
              </w:rPr>
              <w:t>依据《社区生活圈规划技术指南》，结合实际，增加了其他设施，</w:t>
            </w:r>
            <w:r>
              <w:rPr>
                <w:rFonts w:hint="eastAsia" w:ascii="FZFangSong-Z02" w:hAnsi="FZFangSong-Z02" w:eastAsia="FZFangSong-Z02" w:cs="FZFangSong-Z02"/>
                <w:b w:val="0"/>
                <w:bCs w:val="0"/>
                <w:color w:val="auto"/>
                <w:sz w:val="28"/>
                <w:szCs w:val="28"/>
                <w:highlight w:val="none"/>
                <w:lang w:val="en-US" w:eastAsia="zh-CN"/>
              </w:rPr>
              <w:t>删除</w:t>
            </w:r>
            <w:r>
              <w:rPr>
                <w:rFonts w:hint="eastAsia" w:ascii="FZFangSong-Z02" w:hAnsi="FZFangSong-Z02" w:eastAsia="FZFangSong-Z02" w:cs="FZFangSong-Z02"/>
                <w:b w:val="0"/>
                <w:bCs w:val="0"/>
                <w:sz w:val="28"/>
                <w:szCs w:val="28"/>
                <w:highlight w:val="none"/>
                <w:lang w:val="en-US" w:eastAsia="zh-CN"/>
              </w:rPr>
              <w:t>原指引中</w:t>
            </w:r>
            <w:r>
              <w:rPr>
                <w:rFonts w:hint="eastAsia" w:ascii="FZFangSong-Z02" w:hAnsi="FZFangSong-Z02" w:eastAsia="FZFangSong-Z02" w:cs="FZFangSong-Z02"/>
                <w:b w:val="0"/>
                <w:bCs w:val="0"/>
                <w:color w:val="auto"/>
                <w:sz w:val="28"/>
                <w:szCs w:val="28"/>
                <w:highlight w:val="none"/>
                <w:lang w:val="en-US" w:eastAsia="zh-CN"/>
              </w:rPr>
              <w:t>菜市场、生活日用品超市、农资超市等经营性设施，</w:t>
            </w:r>
            <w:r>
              <w:rPr>
                <w:rFonts w:hint="eastAsia" w:ascii="FZFangSong-Z02" w:hAnsi="FZFangSong-Z02" w:eastAsia="FZFangSong-Z02" w:cs="FZFangSong-Z02"/>
                <w:b w:val="0"/>
                <w:bCs w:val="0"/>
                <w:sz w:val="28"/>
                <w:szCs w:val="28"/>
                <w:highlight w:val="none"/>
                <w:lang w:val="en-US" w:eastAsia="zh-CN"/>
              </w:rPr>
              <w:t>具体设置标准依据《社区生活圈规划技术指南》提出。</w:t>
            </w:r>
          </w:p>
        </w:tc>
      </w:tr>
    </w:tbl>
    <w:p>
      <w:pPr>
        <w:bidi w:val="0"/>
        <w:jc w:val="center"/>
        <w:rPr>
          <w:rFonts w:hint="default" w:ascii="黑体" w:hAnsi="黑体" w:eastAsia="黑体" w:cs="黑体"/>
          <w:sz w:val="36"/>
          <w:szCs w:val="36"/>
          <w:lang w:val="en-US" w:eastAsia="zh-CN"/>
        </w:rPr>
      </w:pPr>
    </w:p>
    <w:bookmarkEnd w:id="12"/>
    <w:bookmarkEnd w:id="16"/>
    <w:bookmarkEnd w:id="17"/>
    <w:bookmarkEnd w:id="18"/>
    <w:bookmarkEnd w:id="19"/>
    <w:p>
      <w:pPr>
        <w:rPr>
          <w:rFonts w:hint="default"/>
          <w:lang w:val="en-US" w:eastAsia="zh-CN"/>
        </w:rPr>
      </w:pPr>
    </w:p>
    <w:sectPr>
      <w:footerReference r:id="rId6" w:type="default"/>
      <w:pgSz w:w="16838" w:h="11906" w:orient="landscape"/>
      <w:pgMar w:top="1587" w:right="1474" w:bottom="1474" w:left="1531"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ZFangSong-Z02">
    <w:panose1 w:val="02000000000000000000"/>
    <w:charset w:val="86"/>
    <w:family w:val="script"/>
    <w:pitch w:val="default"/>
    <w:sig w:usb0="00000001" w:usb1="08000000" w:usb2="00000000" w:usb3="00000000" w:csb0="00040000" w:csb1="00000000"/>
  </w:font>
  <w:font w:name="FZSJ-FANGSGBTTOT">
    <w:altName w:val="Noto Serif CJK JP"/>
    <w:panose1 w:val="02000000000000000000"/>
    <w:charset w:val="86"/>
    <w:family w:val="auto"/>
    <w:pitch w:val="default"/>
    <w:sig w:usb0="00000000" w:usb1="00000000" w:usb2="00000012" w:usb3="00000000" w:csb0="00040001" w:csb1="00000000"/>
  </w:font>
  <w:font w:name="FZXiaoBiaoSong-B05">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FZHei-B01">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FZXiaoBiaoSong-B05S">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344711"/>
    </w:sdtPr>
    <w:sdtContent>
      <w:p>
        <w:pPr>
          <w:pStyle w:val="7"/>
          <w:ind w:firstLine="360"/>
          <w:jc w:val="center"/>
        </w:pPr>
        <w:r>
          <w:fldChar w:fldCharType="begin"/>
        </w:r>
        <w:r>
          <w:instrText xml:space="preserve">PAGE   \* MERGEFORMAT</w:instrText>
        </w:r>
        <w:r>
          <w:fldChar w:fldCharType="separate"/>
        </w:r>
        <w:r>
          <w:rPr>
            <w:lang w:val="zh-CN"/>
          </w:rPr>
          <w:t>2</w:t>
        </w:r>
        <w:r>
          <w:fldChar w:fldCharType="end"/>
        </w:r>
      </w:p>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6BC12"/>
    <w:multiLevelType w:val="singleLevel"/>
    <w:tmpl w:val="8436BC12"/>
    <w:lvl w:ilvl="0" w:tentative="0">
      <w:start w:val="1"/>
      <w:numFmt w:val="decimal"/>
      <w:suff w:val="space"/>
      <w:lvlText w:val="%1."/>
      <w:lvlJc w:val="left"/>
    </w:lvl>
  </w:abstractNum>
  <w:abstractNum w:abstractNumId="1">
    <w:nsid w:val="A7BF552B"/>
    <w:multiLevelType w:val="singleLevel"/>
    <w:tmpl w:val="A7BF552B"/>
    <w:lvl w:ilvl="0" w:tentative="0">
      <w:start w:val="1"/>
      <w:numFmt w:val="decimal"/>
      <w:suff w:val="space"/>
      <w:lvlText w:val="%1."/>
      <w:lvlJc w:val="left"/>
    </w:lvl>
  </w:abstractNum>
  <w:abstractNum w:abstractNumId="2">
    <w:nsid w:val="AC988269"/>
    <w:multiLevelType w:val="singleLevel"/>
    <w:tmpl w:val="AC988269"/>
    <w:lvl w:ilvl="0" w:tentative="0">
      <w:start w:val="1"/>
      <w:numFmt w:val="decimal"/>
      <w:suff w:val="space"/>
      <w:lvlText w:val="%1."/>
      <w:lvlJc w:val="left"/>
    </w:lvl>
  </w:abstractNum>
  <w:abstractNum w:abstractNumId="3">
    <w:nsid w:val="C27A4FA2"/>
    <w:multiLevelType w:val="singleLevel"/>
    <w:tmpl w:val="C27A4FA2"/>
    <w:lvl w:ilvl="0" w:tentative="0">
      <w:start w:val="2"/>
      <w:numFmt w:val="chineseCountingThousand"/>
      <w:suff w:val="nothing"/>
      <w:lvlText w:val="%1、"/>
      <w:lvlJc w:val="left"/>
      <w:pPr>
        <w:tabs>
          <w:tab w:val="left" w:pos="420"/>
        </w:tabs>
        <w:ind w:left="0" w:leftChars="0" w:firstLine="0" w:firstLineChars="0"/>
      </w:pPr>
      <w:rPr>
        <w:rFonts w:hint="eastAsia"/>
      </w:rPr>
    </w:lvl>
  </w:abstractNum>
  <w:abstractNum w:abstractNumId="4">
    <w:nsid w:val="D7FD7059"/>
    <w:multiLevelType w:val="singleLevel"/>
    <w:tmpl w:val="D7FD7059"/>
    <w:lvl w:ilvl="0" w:tentative="0">
      <w:start w:val="1"/>
      <w:numFmt w:val="decimal"/>
      <w:suff w:val="space"/>
      <w:lvlText w:val="%1."/>
      <w:lvlJc w:val="left"/>
    </w:lvl>
  </w:abstractNum>
  <w:abstractNum w:abstractNumId="5">
    <w:nsid w:val="DE57AE09"/>
    <w:multiLevelType w:val="singleLevel"/>
    <w:tmpl w:val="DE57AE09"/>
    <w:lvl w:ilvl="0" w:tentative="0">
      <w:start w:val="1"/>
      <w:numFmt w:val="decimal"/>
      <w:suff w:val="space"/>
      <w:lvlText w:val="%1."/>
      <w:lvlJc w:val="left"/>
    </w:lvl>
  </w:abstractNum>
  <w:abstractNum w:abstractNumId="6">
    <w:nsid w:val="F540E1CB"/>
    <w:multiLevelType w:val="singleLevel"/>
    <w:tmpl w:val="F540E1CB"/>
    <w:lvl w:ilvl="0" w:tentative="0">
      <w:start w:val="1"/>
      <w:numFmt w:val="decimal"/>
      <w:suff w:val="space"/>
      <w:lvlText w:val="%1."/>
      <w:lvlJc w:val="left"/>
    </w:lvl>
  </w:abstractNum>
  <w:abstractNum w:abstractNumId="7">
    <w:nsid w:val="123957F0"/>
    <w:multiLevelType w:val="singleLevel"/>
    <w:tmpl w:val="123957F0"/>
    <w:lvl w:ilvl="0" w:tentative="0">
      <w:start w:val="1"/>
      <w:numFmt w:val="decimal"/>
      <w:suff w:val="space"/>
      <w:lvlText w:val="%1."/>
      <w:lvlJc w:val="left"/>
    </w:lvl>
  </w:abstractNum>
  <w:abstractNum w:abstractNumId="8">
    <w:nsid w:val="1B4F1D00"/>
    <w:multiLevelType w:val="singleLevel"/>
    <w:tmpl w:val="1B4F1D00"/>
    <w:lvl w:ilvl="0" w:tentative="0">
      <w:start w:val="1"/>
      <w:numFmt w:val="decimal"/>
      <w:suff w:val="space"/>
      <w:lvlText w:val="%1."/>
      <w:lvlJc w:val="left"/>
    </w:lvl>
  </w:abstractNum>
  <w:abstractNum w:abstractNumId="9">
    <w:nsid w:val="21017424"/>
    <w:multiLevelType w:val="singleLevel"/>
    <w:tmpl w:val="21017424"/>
    <w:lvl w:ilvl="0" w:tentative="0">
      <w:start w:val="1"/>
      <w:numFmt w:val="decimal"/>
      <w:suff w:val="space"/>
      <w:lvlText w:val="%1."/>
      <w:lvlJc w:val="left"/>
    </w:lvl>
  </w:abstractNum>
  <w:abstractNum w:abstractNumId="10">
    <w:nsid w:val="2669A4D2"/>
    <w:multiLevelType w:val="singleLevel"/>
    <w:tmpl w:val="2669A4D2"/>
    <w:lvl w:ilvl="0" w:tentative="0">
      <w:start w:val="1"/>
      <w:numFmt w:val="decimal"/>
      <w:suff w:val="space"/>
      <w:lvlText w:val="%1."/>
      <w:lvlJc w:val="left"/>
    </w:lvl>
  </w:abstractNum>
  <w:abstractNum w:abstractNumId="11">
    <w:nsid w:val="26BAB259"/>
    <w:multiLevelType w:val="singleLevel"/>
    <w:tmpl w:val="26BAB259"/>
    <w:lvl w:ilvl="0" w:tentative="0">
      <w:start w:val="1"/>
      <w:numFmt w:val="decimal"/>
      <w:suff w:val="space"/>
      <w:lvlText w:val="%1."/>
      <w:lvlJc w:val="left"/>
    </w:lvl>
  </w:abstractNum>
  <w:abstractNum w:abstractNumId="12">
    <w:nsid w:val="43FC802F"/>
    <w:multiLevelType w:val="singleLevel"/>
    <w:tmpl w:val="43FC802F"/>
    <w:lvl w:ilvl="0" w:tentative="0">
      <w:start w:val="1"/>
      <w:numFmt w:val="decimal"/>
      <w:suff w:val="space"/>
      <w:lvlText w:val="%1."/>
      <w:lvlJc w:val="left"/>
    </w:lvl>
  </w:abstractNum>
  <w:abstractNum w:abstractNumId="13">
    <w:nsid w:val="4CB770BF"/>
    <w:multiLevelType w:val="singleLevel"/>
    <w:tmpl w:val="4CB770BF"/>
    <w:lvl w:ilvl="0" w:tentative="0">
      <w:start w:val="1"/>
      <w:numFmt w:val="chineseCountingThousand"/>
      <w:suff w:val="nothing"/>
      <w:lvlText w:val="%1、"/>
      <w:lvlJc w:val="left"/>
      <w:pPr>
        <w:tabs>
          <w:tab w:val="left" w:pos="420"/>
        </w:tabs>
        <w:ind w:left="0" w:leftChars="0" w:firstLine="0" w:firstLineChars="0"/>
      </w:pPr>
      <w:rPr>
        <w:rFonts w:hint="eastAsia"/>
      </w:rPr>
    </w:lvl>
  </w:abstractNum>
  <w:abstractNum w:abstractNumId="14">
    <w:nsid w:val="4E722282"/>
    <w:multiLevelType w:val="singleLevel"/>
    <w:tmpl w:val="4E722282"/>
    <w:lvl w:ilvl="0" w:tentative="0">
      <w:start w:val="1"/>
      <w:numFmt w:val="decimal"/>
      <w:suff w:val="space"/>
      <w:lvlText w:val="%1."/>
      <w:lvlJc w:val="left"/>
    </w:lvl>
  </w:abstractNum>
  <w:abstractNum w:abstractNumId="15">
    <w:nsid w:val="5FCADDF2"/>
    <w:multiLevelType w:val="singleLevel"/>
    <w:tmpl w:val="5FCADDF2"/>
    <w:lvl w:ilvl="0" w:tentative="0">
      <w:start w:val="1"/>
      <w:numFmt w:val="decimal"/>
      <w:suff w:val="space"/>
      <w:lvlText w:val="%1."/>
      <w:lvlJc w:val="left"/>
      <w:rPr>
        <w:rFonts w:hint="default"/>
        <w:color w:val="auto"/>
      </w:rPr>
    </w:lvl>
  </w:abstractNum>
  <w:abstractNum w:abstractNumId="16">
    <w:nsid w:val="75FCEE4F"/>
    <w:multiLevelType w:val="singleLevel"/>
    <w:tmpl w:val="75FCEE4F"/>
    <w:lvl w:ilvl="0" w:tentative="0">
      <w:start w:val="1"/>
      <w:numFmt w:val="decimal"/>
      <w:suff w:val="space"/>
      <w:lvlText w:val="%1."/>
      <w:lvlJc w:val="left"/>
    </w:lvl>
  </w:abstractNum>
  <w:abstractNum w:abstractNumId="17">
    <w:nsid w:val="7645D4C9"/>
    <w:multiLevelType w:val="singleLevel"/>
    <w:tmpl w:val="7645D4C9"/>
    <w:lvl w:ilvl="0" w:tentative="0">
      <w:start w:val="1"/>
      <w:numFmt w:val="decimal"/>
      <w:suff w:val="space"/>
      <w:lvlText w:val="%1."/>
      <w:lvlJc w:val="left"/>
    </w:lvl>
  </w:abstractNum>
  <w:num w:numId="1">
    <w:abstractNumId w:val="13"/>
  </w:num>
  <w:num w:numId="2">
    <w:abstractNumId w:val="3"/>
  </w:num>
  <w:num w:numId="3">
    <w:abstractNumId w:val="0"/>
  </w:num>
  <w:num w:numId="4">
    <w:abstractNumId w:val="12"/>
  </w:num>
  <w:num w:numId="5">
    <w:abstractNumId w:val="15"/>
  </w:num>
  <w:num w:numId="6">
    <w:abstractNumId w:val="9"/>
  </w:num>
  <w:num w:numId="7">
    <w:abstractNumId w:val="6"/>
  </w:num>
  <w:num w:numId="8">
    <w:abstractNumId w:val="4"/>
  </w:num>
  <w:num w:numId="9">
    <w:abstractNumId w:val="16"/>
  </w:num>
  <w:num w:numId="10">
    <w:abstractNumId w:val="17"/>
  </w:num>
  <w:num w:numId="11">
    <w:abstractNumId w:val="1"/>
  </w:num>
  <w:num w:numId="12">
    <w:abstractNumId w:val="7"/>
  </w:num>
  <w:num w:numId="13">
    <w:abstractNumId w:val="14"/>
  </w:num>
  <w:num w:numId="14">
    <w:abstractNumId w:val="8"/>
  </w:num>
  <w:num w:numId="15">
    <w:abstractNumId w:val="5"/>
  </w:num>
  <w:num w:numId="16">
    <w:abstractNumId w:val="2"/>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10E3F"/>
    <w:rsid w:val="08A755D5"/>
    <w:rsid w:val="0BB35A1E"/>
    <w:rsid w:val="0C776A4C"/>
    <w:rsid w:val="0DD34156"/>
    <w:rsid w:val="0ED067DC"/>
    <w:rsid w:val="0F8533AC"/>
    <w:rsid w:val="108F3FC5"/>
    <w:rsid w:val="111331E7"/>
    <w:rsid w:val="141E7E6C"/>
    <w:rsid w:val="146C1073"/>
    <w:rsid w:val="15051099"/>
    <w:rsid w:val="18351C95"/>
    <w:rsid w:val="186333C7"/>
    <w:rsid w:val="19B4308D"/>
    <w:rsid w:val="1B974A15"/>
    <w:rsid w:val="1CA23671"/>
    <w:rsid w:val="1FAC68CA"/>
    <w:rsid w:val="2260742D"/>
    <w:rsid w:val="284D528F"/>
    <w:rsid w:val="286B34B1"/>
    <w:rsid w:val="2A9A007E"/>
    <w:rsid w:val="2CBC4CAB"/>
    <w:rsid w:val="2DD8786E"/>
    <w:rsid w:val="2F08568C"/>
    <w:rsid w:val="2FC50656"/>
    <w:rsid w:val="3585424D"/>
    <w:rsid w:val="36BC6106"/>
    <w:rsid w:val="39F07CBA"/>
    <w:rsid w:val="3E352AE6"/>
    <w:rsid w:val="40733D94"/>
    <w:rsid w:val="41651358"/>
    <w:rsid w:val="425D13D7"/>
    <w:rsid w:val="451C0A57"/>
    <w:rsid w:val="471065F4"/>
    <w:rsid w:val="49AE6BE6"/>
    <w:rsid w:val="4BC2740F"/>
    <w:rsid w:val="4D92310A"/>
    <w:rsid w:val="4FF10E3F"/>
    <w:rsid w:val="53F434C8"/>
    <w:rsid w:val="56503B63"/>
    <w:rsid w:val="56F65448"/>
    <w:rsid w:val="5B7ED1D3"/>
    <w:rsid w:val="5C736E9E"/>
    <w:rsid w:val="5D813F61"/>
    <w:rsid w:val="5E970848"/>
    <w:rsid w:val="60200102"/>
    <w:rsid w:val="61DA2A4C"/>
    <w:rsid w:val="640970FF"/>
    <w:rsid w:val="66145893"/>
    <w:rsid w:val="6C123F77"/>
    <w:rsid w:val="6C6E4DF2"/>
    <w:rsid w:val="75D75DE4"/>
    <w:rsid w:val="781F6CA4"/>
    <w:rsid w:val="79674B9C"/>
    <w:rsid w:val="7B2B004F"/>
    <w:rsid w:val="7B3F7AEB"/>
    <w:rsid w:val="7B973A2E"/>
    <w:rsid w:val="7D7F3C48"/>
    <w:rsid w:val="9FF57EEA"/>
    <w:rsid w:val="ABBF59E4"/>
    <w:rsid w:val="FF3B5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FZFangSong-Z0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3" w:lineRule="auto"/>
      <w:ind w:left="0" w:leftChars="0"/>
      <w:outlineLvl w:val="1"/>
    </w:pPr>
    <w:rPr>
      <w:rFonts w:ascii="Arial" w:hAnsi="Arial" w:eastAsia="FZSJ-FANGSGBTTOT"/>
      <w:b/>
    </w:rPr>
  </w:style>
  <w:style w:type="paragraph" w:styleId="4">
    <w:name w:val="heading 3"/>
    <w:basedOn w:val="1"/>
    <w:next w:val="1"/>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Times New Roman" w:eastAsia="FZFangSong-Z02" w:cs="Times New Roman" w:hAnsiTheme="minorHAnsi"/>
      <w:kern w:val="2"/>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Lines="0" w:line="580" w:lineRule="exact"/>
      <w:ind w:firstLine="868" w:firstLineChars="20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paragraph" w:customStyle="1" w:styleId="14">
    <w:name w:val="表格"/>
    <w:basedOn w:val="1"/>
    <w:next w:val="1"/>
    <w:qFormat/>
    <w:uiPriority w:val="0"/>
    <w:pPr>
      <w:topLinePunct/>
      <w:ind w:firstLine="0" w:firstLineChars="0"/>
      <w:jc w:val="center"/>
    </w:pPr>
    <w:rPr>
      <w:rFonts w:ascii="Times New Roman" w:hAnsi="Times New Roman" w:eastAsia="宋体" w:cs="Times New Roman"/>
      <w:kern w:val="0"/>
      <w:sz w:val="21"/>
      <w:szCs w:val="24"/>
    </w:rPr>
  </w:style>
  <w:style w:type="paragraph" w:customStyle="1" w:styleId="15">
    <w:name w:val="表内容"/>
    <w:basedOn w:val="1"/>
    <w:qFormat/>
    <w:uiPriority w:val="0"/>
    <w:pPr>
      <w:spacing w:line="240" w:lineRule="auto"/>
      <w:ind w:firstLine="0" w:firstLineChars="0"/>
      <w:jc w:val="center"/>
    </w:pPr>
    <w:rPr>
      <w:sz w:val="18"/>
    </w:rPr>
  </w:style>
  <w:style w:type="paragraph" w:customStyle="1" w:styleId="16">
    <w:name w:val="修订说明"/>
    <w:basedOn w:val="15"/>
    <w:next w:val="15"/>
    <w:qFormat/>
    <w:uiPriority w:val="0"/>
    <w:pPr>
      <w:jc w:val="left"/>
    </w:pPr>
    <w:rPr>
      <w:rFonts w:ascii="宋体" w:hAnsi="宋体"/>
      <w:bCs/>
      <w:color w:val="000000" w:themeColor="text1"/>
      <w:sz w:val="21"/>
      <w:szCs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5668</Words>
  <Characters>5862</Characters>
  <Lines>0</Lines>
  <Paragraphs>0</Paragraphs>
  <TotalTime>2</TotalTime>
  <ScaleCrop>false</ScaleCrop>
  <LinksUpToDate>false</LinksUpToDate>
  <CharactersWithSpaces>5868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2025-09-13T09:46:00Z</dcterms:created>
  <dc:creator>朱浩辰</dc:creator>
  <cp:lastModifiedBy>三哥</cp:lastModifiedBy>
  <dcterms:modified xsi:type="dcterms:W3CDTF">2025-09-29T11:08:46Z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A2FAC5F98047491282A3A5A93D2130BD_13</vt:lpwstr>
  </property>
  <property fmtid="{D5CDD505-2E9C-101B-9397-08002B2CF9AE}" pid="4" name="KSOTemplateDocerSaveRecord">
    <vt:lpwstr>eyJoZGlkIjoiZTIwY2RkMDhiNDkwYTEzNDc2ZjY0ZDc1N2M4NjI3MjciLCJ1c2VySWQiOiI1OTMxODkyMzYifQ==</vt:lpwstr>
  </property>
</Properties>
</file>