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60" w:lineRule="exact"/>
        <w:ind w:firstLine="0" w:firstLineChars="0"/>
        <w:jc w:val="both"/>
        <w:rPr>
          <w:rFonts w:hint="default" w:ascii="国标黑体" w:hAnsi="国标黑体" w:eastAsia="国标黑体" w:cs="国标黑体"/>
          <w:color w:val="auto"/>
          <w:kern w:val="0"/>
          <w:sz w:val="32"/>
          <w:szCs w:val="32"/>
          <w:lang w:val="en-US" w:eastAsia="zh-CN"/>
          <w14:ligatures w14:val="none"/>
        </w:rPr>
      </w:pPr>
      <w:r>
        <w:rPr>
          <w:rFonts w:hint="eastAsia" w:ascii="国标黑体" w:hAnsi="国标黑体" w:eastAsia="国标黑体" w:cs="国标黑体"/>
          <w:color w:val="auto"/>
          <w:kern w:val="0"/>
          <w:sz w:val="32"/>
          <w:szCs w:val="32"/>
          <w:lang w:val="en-US" w:eastAsia="zh-CN"/>
          <w14:ligatures w14:val="none"/>
        </w:rPr>
        <w:t>附件2</w:t>
      </w:r>
    </w:p>
    <w:p>
      <w:pPr>
        <w:snapToGrid w:val="0"/>
        <w:jc w:val="both"/>
        <w:rPr>
          <w:rFonts w:hint="eastAsia" w:ascii="国标黑体" w:hAnsi="国标黑体" w:eastAsia="国标黑体" w:cs="国标黑体"/>
          <w:sz w:val="32"/>
          <w:szCs w:val="32"/>
          <w:highlight w:val="none"/>
          <w:lang w:val="en-US" w:eastAsia="zh-CN"/>
        </w:rPr>
      </w:pPr>
    </w:p>
    <w:p>
      <w:pPr>
        <w:snapToGrid w:val="0"/>
        <w:jc w:val="center"/>
        <w:rPr>
          <w:rFonts w:hint="eastAsia" w:ascii="Times New Roman" w:hAnsi="Times New Roman" w:eastAsia="FZXiaoBiaoSong-B05" w:cs="Times New Roman"/>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ZXiaoBiaoSong-B05" w:hAnsi="FZXiaoBiaoSong-B05" w:eastAsia="FZXiaoBiaoSong-B05" w:cs="FZXiaoBiaoSong-B05"/>
          <w:sz w:val="44"/>
          <w:szCs w:val="44"/>
          <w:lang w:val="en-US" w:eastAsia="zh-CN"/>
        </w:rPr>
      </w:pPr>
      <w:bookmarkStart w:id="0" w:name="_Toc8185"/>
      <w:bookmarkStart w:id="1" w:name="_Toc5502"/>
      <w:bookmarkStart w:id="2" w:name="_Toc30807"/>
      <w:bookmarkStart w:id="3" w:name="_Toc28936"/>
      <w:r>
        <w:rPr>
          <w:rFonts w:hint="eastAsia" w:ascii="FZXiaoBiaoSong-B05" w:hAnsi="FZXiaoBiaoSong-B05" w:eastAsia="FZXiaoBiaoSong-B05" w:cs="FZXiaoBiaoSong-B05"/>
          <w:sz w:val="44"/>
          <w:szCs w:val="44"/>
          <w:lang w:val="en-US" w:eastAsia="zh-CN"/>
        </w:rPr>
        <w:t>《宁夏回族自治区城乡社区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小标宋_GBK" w:cs="Times New Roman"/>
          <w:color w:val="auto"/>
          <w:kern w:val="2"/>
          <w:sz w:val="44"/>
          <w:szCs w:val="44"/>
          <w:lang w:eastAsia="zh-CN"/>
        </w:rPr>
      </w:pPr>
      <w:r>
        <w:rPr>
          <w:rFonts w:hint="eastAsia" w:ascii="FZXiaoBiaoSong-B05" w:hAnsi="FZXiaoBiaoSong-B05" w:eastAsia="FZXiaoBiaoSong-B05" w:cs="FZXiaoBiaoSong-B05"/>
          <w:sz w:val="44"/>
          <w:szCs w:val="44"/>
          <w:lang w:val="en-US" w:eastAsia="zh-CN"/>
        </w:rPr>
        <w:t>公共服务设施配置规划指引》</w:t>
      </w:r>
      <w:bookmarkEnd w:id="0"/>
      <w:bookmarkEnd w:id="1"/>
      <w:bookmarkEnd w:id="2"/>
      <w:bookmarkEnd w:id="3"/>
      <w:bookmarkStart w:id="4" w:name="_Toc789"/>
      <w:bookmarkStart w:id="5" w:name="_Toc3869"/>
      <w:r>
        <w:rPr>
          <w:rFonts w:hint="eastAsia" w:ascii="Times New Roman" w:hAnsi="Times New Roman" w:eastAsia="方正小标宋_GBK" w:cs="Times New Roman"/>
          <w:color w:val="auto"/>
          <w:kern w:val="2"/>
          <w:sz w:val="44"/>
          <w:szCs w:val="44"/>
          <w:lang w:eastAsia="zh-CN"/>
        </w:rPr>
        <w:t>（修订）</w:t>
      </w:r>
    </w:p>
    <w:p>
      <w:pPr>
        <w:bidi w:val="0"/>
        <w:jc w:val="center"/>
        <w:outlineLvl w:val="0"/>
        <w:rPr>
          <w:rFonts w:ascii="方正小标宋_GBK" w:hAnsi="宋体" w:eastAsia="方正小标宋_GBK" w:cs="宋体"/>
          <w:color w:val="000000"/>
          <w:sz w:val="44"/>
          <w:szCs w:val="44"/>
        </w:rPr>
      </w:pPr>
      <w:r>
        <w:rPr>
          <w:rFonts w:hint="eastAsia" w:ascii="Times New Roman" w:hAnsi="Times New Roman" w:eastAsia="方正小标宋_GBK" w:cs="Times New Roman"/>
          <w:color w:val="auto"/>
          <w:kern w:val="2"/>
          <w:sz w:val="44"/>
          <w:szCs w:val="44"/>
          <w:lang w:eastAsia="zh-CN"/>
        </w:rPr>
        <w:t>（征求意见稿）</w:t>
      </w:r>
    </w:p>
    <w:bookmarkEnd w:id="4"/>
    <w:bookmarkEnd w:id="5"/>
    <w:p>
      <w:pPr>
        <w:bidi w:val="0"/>
        <w:jc w:val="center"/>
        <w:outlineLvl w:val="0"/>
        <w:rPr>
          <w:rFonts w:hint="eastAsia" w:ascii="黑体" w:hAnsi="黑体" w:eastAsia="黑体" w:cs="黑体"/>
          <w:sz w:val="44"/>
          <w:szCs w:val="44"/>
          <w:lang w:val="en-US" w:eastAsia="zh-CN"/>
        </w:rPr>
      </w:pPr>
    </w:p>
    <w:p>
      <w:pPr>
        <w:bidi w:val="0"/>
        <w:jc w:val="center"/>
        <w:outlineLvl w:val="9"/>
        <w:rPr>
          <w:rFonts w:hint="eastAsia" w:ascii="FZXiaoBiaoSong-B05" w:hAnsi="FZXiaoBiaoSong-B05" w:eastAsia="FZXiaoBiaoSong-B05" w:cs="FZXiaoBiaoSong-B05"/>
          <w:sz w:val="44"/>
          <w:szCs w:val="44"/>
          <w:lang w:val="en-US" w:eastAsia="zh-CN"/>
        </w:rPr>
      </w:pPr>
      <w:bookmarkStart w:id="6" w:name="_Toc17996"/>
      <w:r>
        <w:rPr>
          <w:rFonts w:hint="eastAsia" w:ascii="FZXiaoBiaoSong-B05" w:hAnsi="FZXiaoBiaoSong-B05" w:eastAsia="FZXiaoBiaoSong-B05" w:cs="FZXiaoBiaoSong-B05"/>
          <w:sz w:val="44"/>
          <w:szCs w:val="44"/>
          <w:lang w:val="en-US" w:eastAsia="zh-CN"/>
        </w:rPr>
        <w:t>修订说明</w:t>
      </w:r>
      <w:bookmarkEnd w:id="6"/>
    </w:p>
    <w:p>
      <w:pPr>
        <w:bidi w:val="0"/>
        <w:jc w:val="center"/>
        <w:outlineLvl w:val="9"/>
        <w:rPr>
          <w:rFonts w:hint="eastAsia" w:ascii="黑体" w:hAnsi="黑体" w:eastAsia="黑体" w:cs="黑体"/>
          <w:sz w:val="36"/>
          <w:szCs w:val="36"/>
          <w:lang w:val="en-US" w:eastAsia="zh-CN"/>
        </w:rPr>
      </w:pPr>
    </w:p>
    <w:p>
      <w:pPr>
        <w:bidi w:val="0"/>
        <w:jc w:val="center"/>
        <w:rPr>
          <w:rFonts w:hint="eastAsia" w:ascii="黑体" w:hAnsi="黑体" w:eastAsia="黑体" w:cs="黑体"/>
          <w:sz w:val="36"/>
          <w:szCs w:val="36"/>
          <w:lang w:val="en-US" w:eastAsia="zh-CN"/>
        </w:rPr>
      </w:pPr>
    </w:p>
    <w:p>
      <w:pPr>
        <w:bidi w:val="0"/>
        <w:jc w:val="center"/>
        <w:rPr>
          <w:rFonts w:hint="eastAsia" w:ascii="黑体" w:hAnsi="黑体" w:eastAsia="黑体" w:cs="黑体"/>
          <w:sz w:val="36"/>
          <w:szCs w:val="36"/>
          <w:lang w:val="en-US" w:eastAsia="zh-CN"/>
        </w:rPr>
      </w:pPr>
    </w:p>
    <w:p>
      <w:pPr>
        <w:bidi w:val="0"/>
        <w:jc w:val="center"/>
        <w:rPr>
          <w:rFonts w:hint="eastAsia" w:ascii="黑体" w:hAnsi="黑体" w:eastAsia="黑体" w:cs="黑体"/>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default" w:cs="Times New Roman"/>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default" w:cs="Times New Roman"/>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default" w:cs="Times New Roman"/>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default" w:cs="Times New Roman"/>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default" w:cs="Times New Roman"/>
          <w:color w:val="auto"/>
          <w:highlight w:val="none"/>
          <w:lang w:val="en-US" w:eastAsia="zh-CN"/>
        </w:rPr>
      </w:pPr>
    </w:p>
    <w:p>
      <w:pPr>
        <w:keepNext w:val="0"/>
        <w:keepLines w:val="0"/>
        <w:pageBreakBefore w:val="0"/>
        <w:widowControl w:val="0"/>
        <w:kinsoku/>
        <w:wordWrap/>
        <w:overflowPunct/>
        <w:topLinePunct w:val="0"/>
        <w:autoSpaceDE/>
        <w:autoSpaceDN/>
        <w:bidi w:val="0"/>
        <w:adjustRightInd/>
        <w:spacing w:line="560" w:lineRule="exact"/>
        <w:ind w:firstLine="0" w:firstLineChars="0"/>
        <w:jc w:val="center"/>
        <w:textAlignment w:val="auto"/>
        <w:rPr>
          <w:rFonts w:eastAsia="黑体"/>
          <w:color w:val="000000"/>
          <w:szCs w:val="28"/>
        </w:rPr>
      </w:pPr>
      <w:r>
        <w:rPr>
          <w:rFonts w:hint="eastAsia" w:eastAsia="黑体"/>
          <w:color w:val="000000"/>
          <w:szCs w:val="28"/>
        </w:rPr>
        <w:t>宁夏回族自治区自然资源厅</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default" w:ascii="楷体" w:hAnsi="楷体" w:eastAsia="楷体" w:cs="楷体"/>
          <w:color w:val="auto"/>
          <w:sz w:val="36"/>
          <w:szCs w:val="36"/>
          <w:highlight w:val="none"/>
          <w:lang w:val="en-US" w:eastAsia="zh-CN"/>
        </w:rPr>
      </w:pPr>
      <w:r>
        <w:rPr>
          <w:rFonts w:hint="eastAsia" w:eastAsia="黑体"/>
          <w:color w:val="000000"/>
          <w:szCs w:val="28"/>
        </w:rPr>
        <w:t>二〇二</w:t>
      </w:r>
      <w:r>
        <w:rPr>
          <w:rFonts w:hint="eastAsia" w:eastAsia="黑体"/>
          <w:color w:val="000000"/>
          <w:szCs w:val="28"/>
          <w:lang w:val="en-US" w:eastAsia="zh-CN"/>
        </w:rPr>
        <w:t>六</w:t>
      </w:r>
      <w:r>
        <w:rPr>
          <w:rFonts w:hint="eastAsia" w:eastAsia="黑体"/>
          <w:color w:val="000000"/>
          <w:szCs w:val="28"/>
        </w:rPr>
        <w:t>年</w:t>
      </w:r>
      <w:r>
        <w:rPr>
          <w:rFonts w:hint="eastAsia" w:eastAsia="黑体"/>
          <w:color w:val="000000"/>
          <w:szCs w:val="28"/>
          <w:lang w:val="en-US" w:eastAsia="zh-CN"/>
        </w:rPr>
        <w:t>二</w:t>
      </w:r>
      <w:r>
        <w:rPr>
          <w:rFonts w:hint="eastAsia" w:eastAsia="黑体"/>
          <w:color w:val="000000"/>
          <w:szCs w:val="28"/>
        </w:rPr>
        <w:t>月</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eastAsia" w:ascii="楷体" w:hAnsi="楷体" w:eastAsia="楷体" w:cs="楷体"/>
          <w:color w:val="auto"/>
          <w:sz w:val="36"/>
          <w:szCs w:val="36"/>
          <w:highlight w:val="none"/>
          <w:lang w:val="en-US" w:eastAsia="zh-CN"/>
        </w:rPr>
      </w:pPr>
      <w:r>
        <w:rPr>
          <w:rFonts w:hint="eastAsia" w:ascii="楷体" w:hAnsi="楷体" w:eastAsia="楷体" w:cs="楷体"/>
          <w:color w:val="auto"/>
          <w:sz w:val="36"/>
          <w:szCs w:val="36"/>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eastAsia" w:ascii="楷体" w:hAnsi="楷体" w:eastAsia="楷体" w:cs="楷体"/>
          <w:color w:val="auto"/>
          <w:sz w:val="36"/>
          <w:szCs w:val="36"/>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0" w:firstLineChars="0"/>
        <w:jc w:val="center"/>
        <w:textAlignment w:val="auto"/>
        <w:rPr>
          <w:rFonts w:hint="default" w:ascii="楷体" w:hAnsi="楷体" w:eastAsia="楷体" w:cs="楷体"/>
          <w:color w:val="auto"/>
          <w:sz w:val="36"/>
          <w:szCs w:val="36"/>
          <w:highlight w:val="none"/>
          <w:lang w:val="en-US" w:eastAsia="zh-CN"/>
        </w:rPr>
        <w:sectPr>
          <w:pgSz w:w="11906" w:h="16838"/>
          <w:pgMar w:top="2098" w:right="1474" w:bottom="1984" w:left="1587" w:header="851" w:footer="992" w:gutter="0"/>
          <w:pgNumType w:fmt="decimal"/>
          <w:cols w:space="720" w:num="1"/>
          <w:rtlGutter w:val="0"/>
          <w:docGrid w:type="lines" w:linePitch="312" w:charSpace="0"/>
        </w:sectPr>
      </w:pPr>
    </w:p>
    <w:p>
      <w:pPr>
        <w:keepNext w:val="0"/>
        <w:keepLines w:val="0"/>
        <w:pageBreakBefore w:val="0"/>
        <w:widowControl w:val="0"/>
        <w:numPr>
          <w:ilvl w:val="0"/>
          <w:numId w:val="1"/>
        </w:numPr>
        <w:kinsoku/>
        <w:wordWrap/>
        <w:overflowPunct/>
        <w:topLinePunct w:val="0"/>
        <w:autoSpaceDE/>
        <w:autoSpaceDN/>
        <w:bidi w:val="0"/>
        <w:adjustRightInd w:val="0"/>
        <w:snapToGrid w:val="0"/>
        <w:spacing w:beforeAutospacing="0" w:afterAutospacing="0" w:line="600" w:lineRule="exact"/>
        <w:ind w:left="0" w:leftChars="0" w:firstLine="640" w:firstLineChars="200"/>
        <w:textAlignment w:val="auto"/>
        <w:outlineLvl w:val="0"/>
        <w:rPr>
          <w:rFonts w:ascii="FZHei-B01" w:hAnsi="FZHei-B01" w:eastAsia="FZHei-B01" w:cs="FZHei-B01"/>
          <w:szCs w:val="32"/>
          <w14:ligatures w14:val="none"/>
        </w:rPr>
      </w:pPr>
      <w:bookmarkStart w:id="7" w:name="_Toc182561430"/>
      <w:bookmarkStart w:id="8" w:name="_Toc16171"/>
      <w:bookmarkStart w:id="9" w:name="_Toc10450"/>
      <w:bookmarkStart w:id="10" w:name="_Toc14564"/>
      <w:bookmarkStart w:id="11" w:name="_Toc4139"/>
      <w:r>
        <w:rPr>
          <w:rFonts w:hint="eastAsia" w:ascii="FZHei-B01" w:hAnsi="FZHei-B01" w:eastAsia="FZHei-B01" w:cs="FZHei-B01"/>
          <w:szCs w:val="32"/>
          <w14:ligatures w14:val="none"/>
        </w:rPr>
        <w:t>修订背景</w:t>
      </w:r>
      <w:bookmarkEnd w:id="7"/>
    </w:p>
    <w:bookmarkEnd w:id="8"/>
    <w:bookmarkEnd w:id="9"/>
    <w:bookmarkEnd w:id="10"/>
    <w:bookmarkEnd w:id="11"/>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600" w:lineRule="exact"/>
        <w:ind w:firstLine="640" w:firstLineChars="200"/>
        <w:textAlignment w:val="auto"/>
        <w:outlineLvl w:val="9"/>
        <w:rPr>
          <w:rFonts w:hint="eastAsia" w:ascii="仿宋" w:hAnsi="仿宋" w:eastAsia="仿宋" w:cs="仿宋"/>
          <w:sz w:val="32"/>
          <w:lang w:val="en-US" w:eastAsia="zh-CN"/>
        </w:rPr>
      </w:pPr>
      <w:bookmarkStart w:id="12" w:name="OLE_LINK4"/>
      <w:r>
        <w:rPr>
          <w:rFonts w:hint="eastAsia" w:ascii="仿宋" w:hAnsi="仿宋" w:eastAsia="仿宋" w:cs="仿宋"/>
          <w:sz w:val="32"/>
          <w:lang w:val="en-US" w:eastAsia="zh-CN"/>
        </w:rPr>
        <w:t>2019年中共中央、国务院印发《关于建立国土空间规划体系并监督实施的若干意见》，明确提出要完善法规政策和技术标准体系，提高规划编制水平，保障国土空间规划有效实施。2021年自然资源部、国家标准化管理委员会印发《国土空间规划标准体系建设三年行动计划（2025—2027年）》，提出要发挥地方专业技术力量，统筹开展国土空间规划标准制定。鼓励省、市自然资源部门依据国家标准、行业标准，结合当地实际，制定具有地方特色的技术标准。2023年自然资源部印发《关于加强国土空间详细规划工作的通知》，提出要结合城市更新和新城建设实际，因地制宜制定或修订基础设施、公共服务设施和日照、间距等地方性规划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600" w:lineRule="exact"/>
        <w:ind w:firstLine="640" w:firstLineChars="200"/>
        <w:textAlignment w:val="auto"/>
        <w:outlineLvl w:val="9"/>
        <w:rPr>
          <w:rFonts w:hint="eastAsia" w:ascii="仿宋" w:hAnsi="仿宋" w:eastAsia="仿宋" w:cs="仿宋"/>
          <w:sz w:val="32"/>
          <w:lang w:val="en-US" w:eastAsia="zh-CN"/>
        </w:rPr>
      </w:pPr>
      <w:r>
        <w:rPr>
          <w:rFonts w:hint="eastAsia" w:ascii="仿宋" w:hAnsi="仿宋" w:eastAsia="仿宋" w:cs="仿宋"/>
          <w:sz w:val="32"/>
          <w:lang w:val="en-US" w:eastAsia="zh-CN"/>
        </w:rPr>
        <w:t>2021年以来，自然资源部陆续印发《社区生活圈规划技术指南》《国土空间规划城市设计指南》等技术标准，提出以常住人口为基础，针对实际服务人口的全面发展需求，因地制宜优化功能布局，提高城市服务功能的均衡性、可达性和便利性。要补齐就近就业和教育、健康、养老等公共服务设施短板，完善慢行系统和社区公共休闲空间布局，提升生态、安全和数字化等新型基础设施配置水平。各地可结合实际，聚焦城市更新、乡村振兴等工作按照“多规合一”的要求，因地制宜细化《指南》的规划技术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600" w:lineRule="exact"/>
        <w:ind w:firstLine="640" w:firstLineChars="200"/>
        <w:textAlignment w:val="auto"/>
        <w:outlineLvl w:val="9"/>
        <w:rPr>
          <w:rFonts w:hint="eastAsia" w:ascii="仿宋" w:hAnsi="仿宋" w:eastAsia="仿宋" w:cs="仿宋"/>
          <w:sz w:val="32"/>
          <w:highlight w:val="yellow"/>
          <w:lang w:val="en-US" w:eastAsia="zh-CN"/>
        </w:rPr>
      </w:pPr>
      <w:r>
        <w:rPr>
          <w:rFonts w:hint="eastAsia" w:ascii="仿宋" w:hAnsi="仿宋" w:eastAsia="仿宋" w:cs="仿宋"/>
          <w:sz w:val="32"/>
          <w:lang w:val="en-US" w:eastAsia="zh-CN"/>
        </w:rPr>
        <w:t>2016年，宁夏印发《宁夏城乡社区公共服务设施配置规划指引（试行）》（下文简称《指引》），但随着人民对美好生活的需求的日益增长，原指引已经不能适应新时代城乡社区公共服务设施建设的相关要求，为贯彻落实国务院关于建设现代化人民城市、统筹推进新型城镇化和乡村全面振兴的有关部署，坚持以人民为中心的发展思想，强化规划指引，全面推进城乡社区公共服务设施配套标准化，满足人民群众对美好生活的需求，在当前国土空间规划体系构建日益完善的背景下，结合我区实际对《宁夏城乡社区公共服务设施配置规划指引（试行）》进行修订</w:t>
      </w:r>
      <w:r>
        <w:rPr>
          <w:rFonts w:hint="eastAsia" w:ascii="仿宋" w:hAnsi="仿宋" w:eastAsia="仿宋" w:cs="仿宋"/>
          <w:sz w:val="32"/>
          <w:highlight w:val="none"/>
          <w:lang w:val="en-US" w:eastAsia="zh-CN"/>
        </w:rPr>
        <w:t>。</w:t>
      </w:r>
    </w:p>
    <w:p>
      <w:pPr>
        <w:pStyle w:val="2"/>
        <w:keepNext w:val="0"/>
        <w:keepLines w:val="0"/>
        <w:pageBreakBefore w:val="0"/>
        <w:widowControl w:val="0"/>
        <w:numPr>
          <w:ilvl w:val="0"/>
          <w:numId w:val="2"/>
        </w:numPr>
        <w:kinsoku/>
        <w:wordWrap/>
        <w:overflowPunct/>
        <w:topLinePunct w:val="0"/>
        <w:autoSpaceDE/>
        <w:autoSpaceDN/>
        <w:bidi w:val="0"/>
        <w:adjustRightInd w:val="0"/>
        <w:snapToGrid w:val="0"/>
        <w:spacing w:before="0" w:beforeAutospacing="0" w:after="0" w:afterAutospacing="0" w:line="600" w:lineRule="exact"/>
        <w:ind w:left="0" w:leftChars="0" w:firstLine="642" w:firstLineChars="200"/>
        <w:textAlignment w:val="auto"/>
        <w:outlineLvl w:val="0"/>
        <w:rPr>
          <w:rFonts w:hint="eastAsia" w:ascii="黑体" w:hAnsi="黑体" w:eastAsia="黑体" w:cs="黑体"/>
          <w:sz w:val="32"/>
          <w:lang w:val="en-US" w:eastAsia="zh-CN"/>
        </w:rPr>
      </w:pPr>
      <w:r>
        <w:rPr>
          <w:rFonts w:hint="eastAsia" w:ascii="黑体" w:hAnsi="黑体" w:eastAsia="黑体" w:cs="黑体"/>
          <w:sz w:val="32"/>
          <w:lang w:val="en-US" w:eastAsia="zh-CN"/>
        </w:rPr>
        <w:t>修订过程</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600" w:lineRule="exact"/>
        <w:ind w:firstLine="640" w:firstLineChars="200"/>
        <w:textAlignment w:val="auto"/>
        <w:outlineLvl w:val="9"/>
        <w:rPr>
          <w:rFonts w:hint="eastAsia" w:ascii="仿宋_GB2312" w:hAnsi="方正仿宋_GBK" w:eastAsia="仿宋_GB2312" w:cs="方正仿宋_GBK"/>
          <w:color w:val="auto"/>
          <w:sz w:val="32"/>
          <w:lang w:val="en-US"/>
          <w14:ligatures w14:val="none"/>
        </w:rPr>
      </w:pPr>
      <w:r>
        <w:rPr>
          <w:rFonts w:hint="eastAsia" w:ascii="仿宋_GB2312" w:hAnsi="方正仿宋_GBK" w:eastAsia="仿宋_GB2312" w:cs="方正仿宋_GBK"/>
          <w:color w:val="auto"/>
          <w:sz w:val="32"/>
          <w:lang w:val="en-US"/>
          <w14:ligatures w14:val="none"/>
        </w:rPr>
        <w:t>2024年5月</w:t>
      </w:r>
      <w:r>
        <w:rPr>
          <w:rFonts w:hint="eastAsia" w:ascii="仿宋_GB2312" w:hAnsi="方正仿宋_GBK" w:eastAsia="仿宋_GB2312" w:cs="方正仿宋_GBK"/>
          <w:color w:val="auto"/>
          <w:sz w:val="32"/>
          <w:lang w:val="en-US" w:eastAsia="zh-CN"/>
          <w14:ligatures w14:val="none"/>
        </w:rPr>
        <w:t>，</w:t>
      </w:r>
      <w:r>
        <w:rPr>
          <w:rFonts w:hint="eastAsia" w:ascii="仿宋_GB2312" w:hAnsi="方正仿宋_GBK" w:eastAsia="仿宋_GB2312" w:cs="方正仿宋_GBK"/>
          <w:color w:val="auto"/>
          <w:sz w:val="32"/>
          <w:lang w:val="en-US"/>
          <w14:ligatures w14:val="none"/>
        </w:rPr>
        <w:t>自治区自然资源厅启动《宁夏城乡社区公共服务设施配置规划指引（试行）》修订</w:t>
      </w:r>
      <w:r>
        <w:rPr>
          <w:rFonts w:hint="eastAsia" w:ascii="仿宋_GB2312" w:hAnsi="方正仿宋_GBK" w:eastAsia="仿宋_GB2312" w:cs="方正仿宋_GBK"/>
          <w:color w:val="auto"/>
          <w:sz w:val="32"/>
          <w:lang w:val="en-US" w:eastAsia="zh-CN"/>
          <w14:ligatures w14:val="none"/>
        </w:rPr>
        <w:t>前期</w:t>
      </w:r>
      <w:r>
        <w:rPr>
          <w:rFonts w:hint="eastAsia" w:ascii="仿宋_GB2312" w:hAnsi="方正仿宋_GBK" w:eastAsia="仿宋_GB2312" w:cs="方正仿宋_GBK"/>
          <w:color w:val="auto"/>
          <w:sz w:val="32"/>
          <w:lang w:val="en-US"/>
          <w14:ligatures w14:val="none"/>
        </w:rPr>
        <w:t>研究工作</w:t>
      </w:r>
      <w:r>
        <w:rPr>
          <w:rFonts w:hint="eastAsia" w:ascii="仿宋_GB2312" w:hAnsi="方正仿宋_GBK" w:eastAsia="仿宋_GB2312" w:cs="方正仿宋_GBK"/>
          <w:color w:val="auto"/>
          <w:sz w:val="32"/>
          <w:lang w:val="en-US" w:eastAsia="zh-CN"/>
          <w14:ligatures w14:val="none"/>
        </w:rPr>
        <w:t>。研究</w:t>
      </w:r>
      <w:r>
        <w:rPr>
          <w:rFonts w:hint="eastAsia" w:ascii="仿宋_GB2312" w:hAnsi="方正仿宋_GBK" w:eastAsia="仿宋_GB2312" w:cs="方正仿宋_GBK"/>
          <w:color w:val="auto"/>
          <w:sz w:val="32"/>
          <w:lang w:val="en-US"/>
          <w14:ligatures w14:val="none"/>
        </w:rPr>
        <w:t>过程中，相关</w:t>
      </w:r>
      <w:r>
        <w:rPr>
          <w:rFonts w:hint="eastAsia" w:ascii="仿宋_GB2312" w:hAnsi="方正仿宋_GBK" w:eastAsia="仿宋_GB2312" w:cs="方正仿宋_GBK"/>
          <w:color w:val="auto"/>
          <w:sz w:val="32"/>
          <w:highlight w:val="none"/>
          <w:lang w:val="en-US"/>
          <w14:ligatures w14:val="none"/>
        </w:rPr>
        <w:t>部门和社会组织积极参与，并提供相关研究资料</w:t>
      </w:r>
      <w:r>
        <w:rPr>
          <w:rFonts w:hint="eastAsia" w:ascii="仿宋_GB2312" w:hAnsi="方正仿宋_GBK" w:eastAsia="仿宋_GB2312" w:cs="方正仿宋_GBK"/>
          <w:color w:val="auto"/>
          <w:sz w:val="32"/>
          <w:highlight w:val="none"/>
          <w:lang w:val="en-US" w:eastAsia="zh-CN"/>
          <w14:ligatures w14:val="none"/>
        </w:rPr>
        <w:t>；工作</w:t>
      </w:r>
      <w:r>
        <w:rPr>
          <w:rFonts w:hint="eastAsia" w:ascii="仿宋_GB2312" w:hAnsi="方正仿宋_GBK" w:eastAsia="仿宋_GB2312" w:cs="方正仿宋_GBK"/>
          <w:color w:val="auto"/>
          <w:sz w:val="32"/>
          <w:highlight w:val="none"/>
          <w:lang w:val="en-US"/>
          <w14:ligatures w14:val="none"/>
        </w:rPr>
        <w:t>小组多次分批开展实地调研、居民访问、部门座谈会，充分听取修订意见和建议，</w:t>
      </w:r>
      <w:r>
        <w:rPr>
          <w:rFonts w:hint="eastAsia" w:ascii="仿宋_GB2312" w:hAnsi="方正仿宋_GBK" w:eastAsia="仿宋_GB2312" w:cs="方正仿宋_GBK"/>
          <w:color w:val="auto"/>
          <w:sz w:val="32"/>
          <w:highlight w:val="none"/>
          <w:lang w:val="en-US" w:eastAsia="zh-CN"/>
          <w14:ligatures w14:val="none"/>
        </w:rPr>
        <w:t>于2024年9月底</w:t>
      </w:r>
      <w:r>
        <w:rPr>
          <w:rFonts w:hint="eastAsia" w:ascii="仿宋_GB2312" w:hAnsi="方正仿宋_GBK" w:eastAsia="仿宋_GB2312" w:cs="方正仿宋_GBK"/>
          <w:color w:val="auto"/>
          <w:sz w:val="32"/>
          <w:highlight w:val="none"/>
          <w:lang w:val="en-US"/>
          <w14:ligatures w14:val="none"/>
        </w:rPr>
        <w:t>形成《宁夏城乡社区公共服务设施配置规划指引》初稿</w:t>
      </w:r>
      <w:r>
        <w:rPr>
          <w:rFonts w:hint="eastAsia" w:ascii="仿宋_GB2312" w:hAnsi="方正仿宋_GBK" w:eastAsia="仿宋_GB2312" w:cs="方正仿宋_GBK"/>
          <w:color w:val="auto"/>
          <w:sz w:val="32"/>
          <w:highlight w:val="none"/>
          <w:lang w:val="en-US" w:eastAsia="zh-CN"/>
          <w14:ligatures w14:val="none"/>
        </w:rPr>
        <w:t>，</w:t>
      </w:r>
      <w:r>
        <w:rPr>
          <w:rFonts w:hint="eastAsia" w:ascii="仿宋_GB2312" w:hAnsi="方正仿宋_GBK" w:eastAsia="仿宋_GB2312" w:cs="方正仿宋_GBK"/>
          <w:color w:val="auto"/>
          <w:sz w:val="32"/>
          <w:lang w:val="en-US" w:eastAsia="zh-CN"/>
          <w14:ligatures w14:val="none"/>
        </w:rPr>
        <w:t>并组织行业</w:t>
      </w:r>
      <w:r>
        <w:rPr>
          <w:rFonts w:hint="eastAsia" w:ascii="仿宋_GB2312" w:hAnsi="方正仿宋_GBK" w:eastAsia="仿宋_GB2312" w:cs="方正仿宋_GBK"/>
          <w:color w:val="auto"/>
          <w:sz w:val="32"/>
          <w:lang w:val="en-US"/>
          <w14:ligatures w14:val="none"/>
        </w:rPr>
        <w:t>专家论证</w:t>
      </w:r>
      <w:r>
        <w:rPr>
          <w:rFonts w:hint="eastAsia" w:ascii="仿宋_GB2312" w:hAnsi="方正仿宋_GBK" w:eastAsia="仿宋_GB2312" w:cs="方正仿宋_GBK"/>
          <w:color w:val="auto"/>
          <w:sz w:val="32"/>
          <w:lang w:val="en-US" w:eastAsia="zh-CN"/>
          <w14:ligatures w14:val="none"/>
        </w:rPr>
        <w:t>，征求市县自然资源部门意见。2025年3月，正式</w:t>
      </w:r>
      <w:r>
        <w:rPr>
          <w:rFonts w:hint="eastAsia" w:ascii="仿宋_GB2312" w:hAnsi="方正仿宋_GBK" w:eastAsia="仿宋_GB2312" w:cs="方正仿宋_GBK"/>
          <w:color w:val="auto"/>
          <w:sz w:val="32"/>
          <w:lang w:val="en-US"/>
          <w14:ligatures w14:val="none"/>
        </w:rPr>
        <w:t>启动《宁夏城乡社区公共服务设施配置规划指引（试行）》修订</w:t>
      </w:r>
      <w:r>
        <w:rPr>
          <w:rFonts w:hint="eastAsia" w:ascii="仿宋_GB2312" w:hAnsi="方正仿宋_GBK" w:eastAsia="仿宋_GB2312" w:cs="方正仿宋_GBK"/>
          <w:color w:val="auto"/>
          <w:sz w:val="32"/>
          <w:lang w:val="en-US" w:eastAsia="zh-CN"/>
          <w14:ligatures w14:val="none"/>
        </w:rPr>
        <w:t>工作，于9月底形成</w:t>
      </w:r>
      <w:r>
        <w:rPr>
          <w:rFonts w:hint="eastAsia" w:ascii="仿宋" w:hAnsi="仿宋" w:eastAsia="仿宋" w:cs="仿宋"/>
          <w:sz w:val="32"/>
          <w:lang w:val="en-US" w:eastAsia="zh-CN"/>
        </w:rPr>
        <w:t>《宁夏城乡社区公共服务设施配置规划指引》（修订）</w:t>
      </w:r>
      <w:r>
        <w:rPr>
          <w:rFonts w:hint="eastAsia" w:ascii="仿宋_GB2312" w:hAnsi="方正仿宋_GBK" w:eastAsia="仿宋_GB2312" w:cs="方正仿宋_GBK"/>
          <w:color w:val="auto"/>
          <w:sz w:val="32"/>
          <w:lang w:val="en-US"/>
          <w14:ligatures w14:val="none"/>
        </w:rPr>
        <w:t>（</w:t>
      </w:r>
      <w:r>
        <w:rPr>
          <w:rFonts w:hint="eastAsia" w:ascii="仿宋_GB2312" w:hAnsi="方正仿宋_GBK" w:eastAsia="仿宋_GB2312" w:cs="方正仿宋_GBK"/>
          <w:color w:val="auto"/>
          <w:sz w:val="32"/>
          <w:lang w:val="en-US" w:eastAsia="zh-CN"/>
          <w14:ligatures w14:val="none"/>
        </w:rPr>
        <w:t>征求意见</w:t>
      </w:r>
      <w:r>
        <w:rPr>
          <w:rFonts w:hint="eastAsia" w:ascii="仿宋_GB2312" w:hAnsi="方正仿宋_GBK" w:eastAsia="仿宋_GB2312" w:cs="方正仿宋_GBK"/>
          <w:color w:val="auto"/>
          <w:sz w:val="32"/>
          <w:lang w:val="en-US"/>
          <w14:ligatures w14:val="none"/>
        </w:rPr>
        <w:t>稿）</w:t>
      </w:r>
      <w:r>
        <w:rPr>
          <w:rFonts w:hint="eastAsia" w:ascii="仿宋_GB2312" w:hAnsi="方正仿宋_GBK" w:eastAsia="仿宋_GB2312" w:cs="方正仿宋_GBK"/>
          <w:color w:val="auto"/>
          <w:sz w:val="32"/>
          <w:lang w:val="en-US" w:eastAsia="zh-CN"/>
          <w14:ligatures w14:val="none"/>
        </w:rPr>
        <w:t>及</w:t>
      </w:r>
      <w:r>
        <w:rPr>
          <w:rFonts w:hint="eastAsia" w:ascii="仿宋_GB2312" w:hAnsi="方正仿宋_GBK" w:eastAsia="仿宋_GB2312" w:cs="方正仿宋_GBK"/>
          <w:color w:val="auto"/>
          <w:sz w:val="32"/>
          <w:lang w:val="en-US"/>
          <w14:ligatures w14:val="none"/>
        </w:rPr>
        <w:t>修订说明</w:t>
      </w:r>
      <w:r>
        <w:rPr>
          <w:rFonts w:hint="eastAsia" w:ascii="仿宋_GB2312" w:hAnsi="方正仿宋_GBK" w:eastAsia="仿宋_GB2312" w:cs="方正仿宋_GBK"/>
          <w:color w:val="auto"/>
          <w:sz w:val="32"/>
          <w:lang w:val="en-US" w:eastAsia="zh-CN"/>
          <w14:ligatures w14:val="none"/>
        </w:rPr>
        <w:t>，并再次</w:t>
      </w:r>
      <w:r>
        <w:rPr>
          <w:rFonts w:hint="eastAsia" w:ascii="仿宋_GB2312" w:hAnsi="方正仿宋_GBK" w:eastAsia="仿宋_GB2312" w:cs="方正仿宋_GBK"/>
          <w:color w:val="auto"/>
          <w:sz w:val="32"/>
          <w:lang w:val="en-US"/>
          <w14:ligatures w14:val="none"/>
        </w:rPr>
        <w:t>组织</w:t>
      </w:r>
      <w:r>
        <w:rPr>
          <w:rFonts w:hint="eastAsia" w:ascii="仿宋_GB2312" w:hAnsi="方正仿宋_GBK" w:eastAsia="仿宋_GB2312" w:cs="方正仿宋_GBK"/>
          <w:color w:val="auto"/>
          <w:sz w:val="32"/>
          <w:lang w:val="en-US" w:eastAsia="zh-CN"/>
          <w14:ligatures w14:val="none"/>
        </w:rPr>
        <w:t>专家论证，广泛征求厅局、市县及公众</w:t>
      </w:r>
      <w:r>
        <w:rPr>
          <w:rFonts w:hint="eastAsia" w:ascii="仿宋_GB2312" w:hAnsi="方正仿宋_GBK" w:eastAsia="仿宋_GB2312" w:cs="方正仿宋_GBK"/>
          <w:color w:val="auto"/>
          <w:sz w:val="32"/>
          <w:lang w:val="en-US"/>
          <w14:ligatures w14:val="none"/>
        </w:rPr>
        <w:t>意见，</w:t>
      </w:r>
      <w:r>
        <w:rPr>
          <w:rFonts w:hint="eastAsia" w:ascii="仿宋_GB2312" w:hAnsi="方正仿宋_GBK" w:eastAsia="仿宋_GB2312" w:cs="方正仿宋_GBK"/>
          <w:color w:val="auto"/>
          <w:sz w:val="32"/>
          <w:lang w:val="en-US" w:eastAsia="zh-CN"/>
          <w14:ligatures w14:val="none"/>
        </w:rPr>
        <w:t>经充分吸纳修改最终</w:t>
      </w:r>
      <w:r>
        <w:rPr>
          <w:rFonts w:hint="eastAsia" w:ascii="仿宋_GB2312" w:hAnsi="方正仿宋_GBK" w:eastAsia="仿宋_GB2312" w:cs="方正仿宋_GBK"/>
          <w:color w:val="auto"/>
          <w:sz w:val="32"/>
          <w:lang w:val="en-US"/>
          <w14:ligatures w14:val="none"/>
        </w:rPr>
        <w:t>形成</w:t>
      </w:r>
      <w:r>
        <w:rPr>
          <w:rFonts w:hint="eastAsia" w:ascii="仿宋_GB2312" w:hAnsi="方正仿宋_GBK" w:eastAsia="仿宋_GB2312" w:cs="方正仿宋_GBK"/>
          <w:color w:val="auto"/>
          <w:sz w:val="32"/>
          <w:lang w:val="en-US" w:eastAsia="zh-CN"/>
          <w14:ligatures w14:val="none"/>
        </w:rPr>
        <w:t>了本次征求意见的</w:t>
      </w:r>
      <w:r>
        <w:rPr>
          <w:rFonts w:hint="eastAsia" w:ascii="仿宋_GB2312" w:hAnsi="方正仿宋_GBK" w:eastAsia="仿宋_GB2312" w:cs="方正仿宋_GBK"/>
          <w:color w:val="auto"/>
          <w:sz w:val="32"/>
          <w:lang w:val="en-US"/>
          <w14:ligatures w14:val="none"/>
        </w:rPr>
        <w:t>《宁夏城乡社区公共服务设施配置规划指引》（修订）（征求意见稿）和《宁夏城乡社区公共服务设施配置规划指引》（修订）（征求意见稿）修订说明。</w:t>
      </w:r>
    </w:p>
    <w:p>
      <w:pPr>
        <w:pStyle w:val="2"/>
        <w:keepNext w:val="0"/>
        <w:keepLines w:val="0"/>
        <w:pageBreakBefore w:val="0"/>
        <w:widowControl w:val="0"/>
        <w:numPr>
          <w:ilvl w:val="0"/>
          <w:numId w:val="2"/>
        </w:numPr>
        <w:kinsoku/>
        <w:wordWrap/>
        <w:overflowPunct/>
        <w:topLinePunct w:val="0"/>
        <w:autoSpaceDE/>
        <w:autoSpaceDN/>
        <w:bidi w:val="0"/>
        <w:adjustRightInd w:val="0"/>
        <w:snapToGrid w:val="0"/>
        <w:spacing w:before="0" w:beforeAutospacing="0" w:after="0" w:afterAutospacing="0" w:line="600" w:lineRule="exact"/>
        <w:ind w:left="0" w:leftChars="0" w:firstLine="670" w:firstLineChars="200"/>
        <w:textAlignment w:val="auto"/>
        <w:outlineLvl w:val="0"/>
        <w:rPr>
          <w:rFonts w:hint="eastAsia" w:ascii="黑体" w:hAnsi="黑体" w:eastAsia="黑体" w:cs="黑体"/>
          <w:b/>
          <w:bCs/>
          <w:snapToGrid w:val="0"/>
          <w:color w:val="000000"/>
          <w:spacing w:val="7"/>
          <w:sz w:val="32"/>
          <w:szCs w:val="32"/>
          <w:lang w:val="en-US" w:eastAsia="zh-CN" w:bidi="ar-SA"/>
        </w:rPr>
      </w:pPr>
      <w:bookmarkStart w:id="13" w:name="_Toc26402"/>
      <w:bookmarkStart w:id="14" w:name="_Toc3428"/>
      <w:bookmarkStart w:id="15" w:name="_Toc21629"/>
      <w:bookmarkStart w:id="16" w:name="_Toc26208"/>
      <w:bookmarkStart w:id="17" w:name="_Toc8837"/>
      <w:bookmarkStart w:id="18" w:name="_Toc22334"/>
      <w:bookmarkStart w:id="19" w:name="_Toc19645"/>
      <w:r>
        <w:rPr>
          <w:rFonts w:hint="eastAsia" w:ascii="黑体" w:hAnsi="黑体" w:eastAsia="黑体" w:cs="黑体"/>
          <w:b/>
          <w:bCs/>
          <w:snapToGrid w:val="0"/>
          <w:color w:val="000000"/>
          <w:spacing w:val="7"/>
          <w:sz w:val="32"/>
          <w:szCs w:val="32"/>
          <w:lang w:val="en-US" w:eastAsia="zh-CN" w:bidi="ar-SA"/>
        </w:rPr>
        <w:t>修订情况</w:t>
      </w:r>
      <w:bookmarkEnd w:id="13"/>
      <w:bookmarkEnd w:id="14"/>
      <w:bookmarkEnd w:id="15"/>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600" w:lineRule="exact"/>
        <w:ind w:firstLine="640" w:firstLineChars="200"/>
        <w:textAlignment w:val="auto"/>
        <w:outlineLvl w:val="9"/>
        <w:rPr>
          <w:rFonts w:hint="eastAsia" w:ascii="仿宋" w:hAnsi="仿宋" w:eastAsia="仿宋" w:cs="仿宋"/>
          <w:sz w:val="32"/>
          <w:lang w:val="en-US" w:eastAsia="zh-CN"/>
        </w:rPr>
      </w:pPr>
      <w:r>
        <w:rPr>
          <w:rFonts w:hint="eastAsia" w:ascii="仿宋" w:hAnsi="仿宋" w:eastAsia="仿宋" w:cs="仿宋"/>
          <w:sz w:val="32"/>
          <w:szCs w:val="32"/>
          <w:lang w:eastAsia="zh-CN"/>
          <w14:ligatures w14:val="none"/>
        </w:rPr>
        <w:t>《指引》原文</w:t>
      </w:r>
      <w:r>
        <w:rPr>
          <w:rFonts w:hint="eastAsia" w:ascii="仿宋" w:hAnsi="仿宋" w:eastAsia="仿宋" w:cs="仿宋"/>
          <w:sz w:val="32"/>
          <w:szCs w:val="32"/>
          <w14:ligatures w14:val="none"/>
        </w:rPr>
        <w:t>共</w:t>
      </w:r>
      <w:r>
        <w:rPr>
          <w:rFonts w:hint="eastAsia" w:ascii="仿宋" w:hAnsi="仿宋" w:eastAsia="仿宋" w:cs="仿宋"/>
          <w:sz w:val="32"/>
          <w:szCs w:val="32"/>
          <w:lang w:val="en-US" w:eastAsia="zh-CN"/>
          <w14:ligatures w14:val="none"/>
        </w:rPr>
        <w:t>5</w:t>
      </w:r>
      <w:r>
        <w:rPr>
          <w:rFonts w:hint="eastAsia" w:ascii="仿宋" w:hAnsi="仿宋" w:eastAsia="仿宋" w:cs="仿宋"/>
          <w:sz w:val="32"/>
          <w:szCs w:val="32"/>
          <w14:ligatures w14:val="none"/>
        </w:rPr>
        <w:t>章</w:t>
      </w:r>
      <w:r>
        <w:rPr>
          <w:rFonts w:hint="eastAsia" w:ascii="仿宋" w:hAnsi="仿宋" w:eastAsia="仿宋" w:cs="仿宋"/>
          <w:sz w:val="32"/>
          <w:lang w:val="en-US" w:eastAsia="zh-CN"/>
        </w:rPr>
        <w:t>4</w:t>
      </w:r>
      <w:r>
        <w:rPr>
          <w:rFonts w:hint="default" w:ascii="仿宋" w:hAnsi="仿宋" w:eastAsia="仿宋" w:cs="仿宋"/>
          <w:sz w:val="32"/>
          <w:lang w:val="en-US" w:eastAsia="zh-CN"/>
        </w:rPr>
        <w:t>5</w:t>
      </w:r>
      <w:r>
        <w:rPr>
          <w:rFonts w:hint="eastAsia" w:ascii="仿宋" w:hAnsi="仿宋" w:eastAsia="仿宋" w:cs="仿宋"/>
          <w:sz w:val="32"/>
          <w:szCs w:val="32"/>
          <w:lang w:val="en-US" w:eastAsia="zh-CN"/>
          <w14:ligatures w14:val="none"/>
        </w:rPr>
        <w:t>条</w:t>
      </w:r>
      <w:r>
        <w:rPr>
          <w:rFonts w:hint="eastAsia" w:ascii="仿宋" w:hAnsi="仿宋" w:eastAsia="仿宋" w:cs="仿宋"/>
          <w:sz w:val="32"/>
          <w:szCs w:val="32"/>
          <w14:ligatures w14:val="none"/>
        </w:rPr>
        <w:t>，包括总则</w:t>
      </w:r>
      <w:r>
        <w:rPr>
          <w:rFonts w:hint="eastAsia" w:ascii="仿宋" w:hAnsi="仿宋" w:eastAsia="仿宋" w:cs="仿宋"/>
          <w:sz w:val="32"/>
          <w:szCs w:val="32"/>
          <w:lang w:eastAsia="zh-CN"/>
          <w14:ligatures w14:val="none"/>
        </w:rPr>
        <w:t>、</w:t>
      </w:r>
      <w:r>
        <w:rPr>
          <w:rFonts w:hint="eastAsia" w:ascii="仿宋" w:hAnsi="仿宋" w:eastAsia="仿宋" w:cs="仿宋"/>
          <w:sz w:val="32"/>
          <w:szCs w:val="32"/>
          <w14:ligatures w14:val="none"/>
        </w:rPr>
        <w:t>城市社区</w:t>
      </w:r>
      <w:r>
        <w:rPr>
          <w:rFonts w:hint="eastAsia" w:ascii="仿宋" w:hAnsi="仿宋" w:eastAsia="仿宋" w:cs="仿宋"/>
          <w:sz w:val="32"/>
          <w:szCs w:val="32"/>
          <w:lang w:eastAsia="zh-CN"/>
          <w14:ligatures w14:val="none"/>
        </w:rPr>
        <w:t>、</w:t>
      </w:r>
      <w:r>
        <w:rPr>
          <w:rFonts w:hint="eastAsia" w:ascii="仿宋" w:hAnsi="仿宋" w:eastAsia="仿宋" w:cs="仿宋"/>
          <w:sz w:val="32"/>
          <w:szCs w:val="32"/>
          <w14:ligatures w14:val="none"/>
        </w:rPr>
        <w:t>小城镇社区</w:t>
      </w:r>
      <w:r>
        <w:rPr>
          <w:rFonts w:hint="eastAsia" w:ascii="仿宋" w:hAnsi="仿宋" w:eastAsia="仿宋" w:cs="仿宋"/>
          <w:sz w:val="32"/>
          <w:szCs w:val="32"/>
          <w:lang w:eastAsia="zh-CN"/>
          <w14:ligatures w14:val="none"/>
        </w:rPr>
        <w:t>、</w:t>
      </w:r>
      <w:r>
        <w:rPr>
          <w:rFonts w:hint="eastAsia" w:ascii="仿宋" w:hAnsi="仿宋" w:eastAsia="仿宋" w:cs="仿宋"/>
          <w:sz w:val="32"/>
          <w:szCs w:val="32"/>
          <w14:ligatures w14:val="none"/>
        </w:rPr>
        <w:t>农村社区</w:t>
      </w:r>
      <w:r>
        <w:rPr>
          <w:rFonts w:hint="eastAsia" w:ascii="仿宋" w:hAnsi="仿宋" w:eastAsia="仿宋" w:cs="仿宋"/>
          <w:sz w:val="32"/>
          <w:szCs w:val="32"/>
          <w:lang w:eastAsia="zh-CN"/>
          <w14:ligatures w14:val="none"/>
        </w:rPr>
        <w:t>、</w:t>
      </w:r>
      <w:r>
        <w:rPr>
          <w:rFonts w:hint="eastAsia" w:ascii="仿宋" w:hAnsi="仿宋" w:eastAsia="仿宋" w:cs="仿宋"/>
          <w:sz w:val="32"/>
          <w:szCs w:val="32"/>
          <w14:ligatures w14:val="none"/>
        </w:rPr>
        <w:t>术语和用词说明。本次修订</w:t>
      </w:r>
      <w:r>
        <w:rPr>
          <w:rFonts w:hint="eastAsia" w:ascii="仿宋" w:hAnsi="仿宋" w:eastAsia="仿宋" w:cs="仿宋"/>
          <w:sz w:val="32"/>
          <w:szCs w:val="32"/>
          <w:lang w:eastAsia="zh-CN"/>
          <w14:ligatures w14:val="none"/>
        </w:rPr>
        <w:t>对章节框架和条文内容均进行了调整，</w:t>
      </w:r>
      <w:r>
        <w:rPr>
          <w:rFonts w:hint="eastAsia" w:ascii="仿宋" w:hAnsi="仿宋" w:eastAsia="仿宋" w:cs="仿宋"/>
          <w:sz w:val="32"/>
          <w:szCs w:val="32"/>
          <w14:ligatures w14:val="none"/>
        </w:rPr>
        <w:t>修订后标准</w:t>
      </w:r>
      <w:r>
        <w:rPr>
          <w:rFonts w:hint="eastAsia" w:ascii="仿宋" w:hAnsi="仿宋" w:eastAsia="仿宋" w:cs="仿宋"/>
          <w:color w:val="auto"/>
          <w:sz w:val="32"/>
          <w:szCs w:val="32"/>
          <w:lang w:eastAsia="zh-CN"/>
          <w14:ligatures w14:val="none"/>
        </w:rPr>
        <w:t>共</w:t>
      </w:r>
      <w:r>
        <w:rPr>
          <w:rFonts w:hint="eastAsia" w:ascii="仿宋" w:hAnsi="仿宋" w:eastAsia="仿宋" w:cs="仿宋"/>
          <w:color w:val="auto"/>
          <w:sz w:val="32"/>
          <w:szCs w:val="32"/>
          <w:lang w:val="en-US" w:eastAsia="zh-CN"/>
          <w14:ligatures w14:val="none"/>
        </w:rPr>
        <w:t>4</w:t>
      </w:r>
      <w:r>
        <w:rPr>
          <w:rFonts w:hint="eastAsia" w:ascii="仿宋" w:hAnsi="仿宋" w:eastAsia="仿宋" w:cs="仿宋"/>
          <w:color w:val="auto"/>
          <w:sz w:val="32"/>
          <w:szCs w:val="32"/>
          <w14:ligatures w14:val="none"/>
        </w:rPr>
        <w:t>章</w:t>
      </w:r>
      <w:r>
        <w:rPr>
          <w:rFonts w:hint="eastAsia" w:ascii="仿宋" w:hAnsi="仿宋" w:eastAsia="仿宋" w:cs="仿宋"/>
          <w:color w:val="auto"/>
          <w:sz w:val="32"/>
          <w:szCs w:val="32"/>
          <w:lang w:val="en-US" w:eastAsia="zh-CN"/>
          <w14:ligatures w14:val="none"/>
        </w:rPr>
        <w:t>30</w:t>
      </w:r>
      <w:r>
        <w:rPr>
          <w:rFonts w:hint="eastAsia" w:ascii="仿宋" w:hAnsi="仿宋" w:eastAsia="仿宋" w:cs="仿宋"/>
          <w:color w:val="auto"/>
          <w:sz w:val="32"/>
          <w:szCs w:val="32"/>
          <w14:ligatures w14:val="none"/>
        </w:rPr>
        <w:t>条</w:t>
      </w:r>
      <w:r>
        <w:rPr>
          <w:rFonts w:hint="eastAsia" w:ascii="仿宋" w:hAnsi="仿宋" w:eastAsia="仿宋" w:cs="仿宋"/>
          <w:sz w:val="32"/>
          <w:szCs w:val="32"/>
          <w14:ligatures w14:val="none"/>
        </w:rPr>
        <w:t>，</w:t>
      </w:r>
      <w:r>
        <w:rPr>
          <w:rFonts w:hint="eastAsia" w:ascii="仿宋" w:hAnsi="仿宋" w:eastAsia="仿宋" w:cs="仿宋"/>
          <w:sz w:val="32"/>
          <w:szCs w:val="32"/>
          <w:lang w:eastAsia="zh-CN"/>
          <w14:ligatures w14:val="none"/>
        </w:rPr>
        <w:t>包括</w:t>
      </w:r>
      <w:r>
        <w:rPr>
          <w:rFonts w:hint="eastAsia" w:ascii="仿宋" w:hAnsi="仿宋" w:eastAsia="仿宋" w:cs="仿宋"/>
          <w:sz w:val="32"/>
          <w:lang w:val="en-US" w:eastAsia="zh-CN"/>
        </w:rPr>
        <w:t>总则、术语、城镇社区、乡村社区。</w:t>
      </w:r>
    </w:p>
    <w:p>
      <w:pPr>
        <w:keepNext w:val="0"/>
        <w:keepLines w:val="0"/>
        <w:pageBreakBefore w:val="0"/>
        <w:widowControl w:val="0"/>
        <w:kinsoku/>
        <w:wordWrap/>
        <w:overflowPunct/>
        <w:topLinePunct w:val="0"/>
        <w:autoSpaceDE/>
        <w:autoSpaceDN/>
        <w:bidi w:val="0"/>
        <w:spacing w:beforeAutospacing="0" w:afterAutospacing="0" w:line="600" w:lineRule="exact"/>
        <w:ind w:firstLine="640"/>
        <w:textAlignment w:val="auto"/>
        <w:outlineLvl w:val="9"/>
        <w:rPr>
          <w:rFonts w:hint="default" w:ascii="仿宋" w:hAnsi="仿宋" w:eastAsia="仿宋" w:cs="仿宋"/>
          <w:kern w:val="2"/>
          <w:sz w:val="32"/>
          <w:szCs w:val="32"/>
          <w:lang w:val="en-US" w:eastAsia="zh-CN" w:bidi="ar-SA"/>
          <w14:ligatures w14:val="none"/>
        </w:rPr>
      </w:pPr>
      <w:r>
        <w:rPr>
          <w:rFonts w:hint="eastAsia" w:ascii="仿宋" w:hAnsi="仿宋" w:eastAsia="仿宋" w:cs="仿宋"/>
          <w:sz w:val="32"/>
          <w:szCs w:val="32"/>
          <w:lang w:eastAsia="zh-CN"/>
          <w14:ligatures w14:val="none"/>
        </w:rPr>
        <w:t>章节框架方面，</w:t>
      </w:r>
      <w:r>
        <w:rPr>
          <w:rFonts w:hint="eastAsia" w:ascii="仿宋" w:hAnsi="仿宋" w:eastAsia="仿宋" w:cs="仿宋"/>
          <w:sz w:val="32"/>
          <w:szCs w:val="32"/>
          <w:lang w:val="en-US" w:eastAsia="zh-CN"/>
          <w14:ligatures w14:val="none"/>
        </w:rPr>
        <w:t>删除原指引中“</w:t>
      </w:r>
      <w:r>
        <w:rPr>
          <w:rFonts w:hint="eastAsia" w:ascii="仿宋" w:hAnsi="仿宋" w:eastAsia="仿宋" w:cs="仿宋"/>
          <w:sz w:val="32"/>
          <w:szCs w:val="32"/>
          <w14:ligatures w14:val="none"/>
        </w:rPr>
        <w:t>城市社区</w:t>
      </w:r>
      <w:r>
        <w:rPr>
          <w:rFonts w:hint="eastAsia" w:ascii="仿宋" w:hAnsi="仿宋" w:eastAsia="仿宋" w:cs="仿宋"/>
          <w:sz w:val="32"/>
          <w:szCs w:val="32"/>
          <w:lang w:val="en-US" w:eastAsia="zh-CN"/>
          <w14:ligatures w14:val="none"/>
        </w:rPr>
        <w:t>”和“小城镇社区”两章内容合并为“城镇社区”；将原指引第五章“</w:t>
      </w:r>
      <w:r>
        <w:rPr>
          <w:rFonts w:hint="eastAsia" w:ascii="仿宋" w:hAnsi="仿宋" w:eastAsia="仿宋" w:cs="仿宋"/>
          <w:sz w:val="32"/>
          <w:szCs w:val="32"/>
          <w14:ligatures w14:val="none"/>
        </w:rPr>
        <w:t>术语和用词说明</w:t>
      </w:r>
      <w:r>
        <w:rPr>
          <w:rFonts w:hint="eastAsia" w:ascii="仿宋" w:hAnsi="仿宋" w:eastAsia="仿宋" w:cs="仿宋"/>
          <w:sz w:val="32"/>
          <w:szCs w:val="32"/>
          <w:lang w:val="en-US" w:eastAsia="zh-CN"/>
          <w14:ligatures w14:val="none"/>
        </w:rPr>
        <w:t>”调整至</w:t>
      </w:r>
      <w:r>
        <w:rPr>
          <w:rFonts w:hint="eastAsia" w:ascii="仿宋" w:hAnsi="仿宋" w:eastAsia="仿宋" w:cs="仿宋"/>
          <w:kern w:val="2"/>
          <w:sz w:val="32"/>
          <w:szCs w:val="32"/>
          <w:lang w:val="en-US" w:eastAsia="zh-CN" w:bidi="ar-SA"/>
          <w14:ligatures w14:val="none"/>
        </w:rPr>
        <w:t>第二章“术语”。增加前言、目录和</w:t>
      </w:r>
      <w:r>
        <w:rPr>
          <w:rFonts w:hint="default" w:ascii="Times New Roman" w:hAnsi="Times New Roman" w:eastAsia="方正仿宋_GBK" w:cs="Times New Roman"/>
          <w:color w:val="auto"/>
          <w:sz w:val="32"/>
          <w:szCs w:val="32"/>
        </w:rPr>
        <w:t>引用</w:t>
      </w:r>
      <w:r>
        <w:rPr>
          <w:rFonts w:hint="eastAsia" w:eastAsia="方正仿宋_GBK" w:cs="Times New Roman"/>
          <w:color w:val="auto"/>
          <w:sz w:val="32"/>
          <w:szCs w:val="32"/>
          <w:lang w:eastAsia="zh-CN"/>
        </w:rPr>
        <w:t>文件及</w:t>
      </w:r>
      <w:r>
        <w:rPr>
          <w:rFonts w:hint="default" w:ascii="Times New Roman" w:hAnsi="Times New Roman" w:eastAsia="方正仿宋_GBK" w:cs="Times New Roman"/>
          <w:color w:val="auto"/>
          <w:sz w:val="32"/>
          <w:szCs w:val="32"/>
        </w:rPr>
        <w:t>标准名录</w:t>
      </w:r>
      <w:r>
        <w:rPr>
          <w:rFonts w:hint="eastAsia" w:ascii="仿宋" w:hAnsi="仿宋" w:eastAsia="仿宋" w:cs="仿宋"/>
          <w:kern w:val="2"/>
          <w:sz w:val="32"/>
          <w:szCs w:val="32"/>
          <w:lang w:val="en-US" w:eastAsia="zh-CN" w:bidi="ar-SA"/>
          <w14:ligatures w14:val="none"/>
        </w:rPr>
        <w:t>。</w:t>
      </w:r>
    </w:p>
    <w:p>
      <w:pPr>
        <w:keepNext w:val="0"/>
        <w:keepLines w:val="0"/>
        <w:pageBreakBefore w:val="0"/>
        <w:widowControl w:val="0"/>
        <w:kinsoku/>
        <w:wordWrap/>
        <w:overflowPunct/>
        <w:topLinePunct w:val="0"/>
        <w:autoSpaceDE/>
        <w:autoSpaceDN/>
        <w:bidi w:val="0"/>
        <w:spacing w:beforeAutospacing="0" w:afterAutospacing="0" w:line="600" w:lineRule="exact"/>
        <w:ind w:firstLine="640"/>
        <w:textAlignment w:val="auto"/>
        <w:outlineLvl w:val="9"/>
        <w:rPr>
          <w:rFonts w:hint="eastAsia" w:ascii="仿宋" w:hAnsi="仿宋" w:eastAsia="仿宋" w:cs="仿宋"/>
          <w:sz w:val="32"/>
        </w:rPr>
        <w:sectPr>
          <w:footerReference r:id="rId5" w:type="default"/>
          <w:pgSz w:w="11906" w:h="16838"/>
          <w:pgMar w:top="2098" w:right="1474" w:bottom="1984" w:left="1587" w:header="851" w:footer="850" w:gutter="0"/>
          <w:pgNumType w:fmt="decimal" w:start="1"/>
          <w:cols w:space="425" w:num="1"/>
          <w:docGrid w:type="lines" w:linePitch="312" w:charSpace="0"/>
        </w:sectPr>
      </w:pPr>
      <w:r>
        <w:rPr>
          <w:rFonts w:hint="eastAsia" w:ascii="仿宋" w:hAnsi="仿宋" w:eastAsia="仿宋" w:cs="仿宋"/>
          <w:sz w:val="32"/>
          <w:szCs w:val="32"/>
          <w:lang w:eastAsia="zh-CN"/>
          <w14:ligatures w14:val="none"/>
        </w:rPr>
        <w:t>条文内容方面，本次修订</w:t>
      </w:r>
      <w:r>
        <w:rPr>
          <w:rFonts w:hint="eastAsia" w:ascii="仿宋" w:hAnsi="仿宋" w:eastAsia="仿宋" w:cs="仿宋"/>
          <w:sz w:val="32"/>
          <w:lang w:val="en-US" w:eastAsia="zh-CN"/>
        </w:rPr>
        <w:t>修改23条、删除14条</w:t>
      </w:r>
      <w:r>
        <w:rPr>
          <w:rFonts w:hint="eastAsia" w:ascii="仿宋" w:hAnsi="仿宋" w:eastAsia="仿宋" w:cs="仿宋"/>
          <w:sz w:val="32"/>
          <w:szCs w:val="32"/>
          <w:lang w:eastAsia="zh-CN"/>
          <w14:ligatures w14:val="none"/>
        </w:rPr>
        <w:t>、</w:t>
      </w:r>
      <w:r>
        <w:rPr>
          <w:rFonts w:hint="eastAsia" w:ascii="仿宋" w:hAnsi="仿宋" w:eastAsia="仿宋" w:cs="仿宋"/>
          <w:sz w:val="32"/>
          <w:szCs w:val="32"/>
          <w14:ligatures w14:val="none"/>
        </w:rPr>
        <w:t>新增</w:t>
      </w:r>
      <w:r>
        <w:rPr>
          <w:rFonts w:hint="eastAsia" w:ascii="仿宋" w:hAnsi="仿宋" w:eastAsia="仿宋" w:cs="仿宋"/>
          <w:sz w:val="32"/>
          <w:szCs w:val="32"/>
          <w:lang w:val="en-US" w:eastAsia="zh-CN"/>
          <w14:ligatures w14:val="none"/>
        </w:rPr>
        <w:t>1条，新增条文</w:t>
      </w:r>
      <w:r>
        <w:rPr>
          <w:rFonts w:hint="eastAsia" w:ascii="仿宋" w:hAnsi="仿宋" w:eastAsia="仿宋" w:cs="仿宋"/>
          <w:sz w:val="32"/>
          <w:szCs w:val="32"/>
          <w14:ligatures w14:val="none"/>
        </w:rPr>
        <w:t>主要</w:t>
      </w:r>
      <w:r>
        <w:rPr>
          <w:rFonts w:hint="eastAsia" w:ascii="仿宋" w:hAnsi="仿宋" w:eastAsia="仿宋" w:cs="仿宋"/>
          <w:sz w:val="32"/>
          <w:szCs w:val="32"/>
          <w:lang w:eastAsia="zh-CN"/>
          <w14:ligatures w14:val="none"/>
        </w:rPr>
        <w:t>是</w:t>
      </w:r>
      <w:r>
        <w:rPr>
          <w:rFonts w:hint="eastAsia" w:ascii="仿宋" w:hAnsi="仿宋" w:eastAsia="仿宋" w:cs="仿宋"/>
          <w:sz w:val="32"/>
          <w:szCs w:val="32"/>
          <w:lang w:val="en-US" w:eastAsia="zh-CN"/>
          <w14:ligatures w14:val="none"/>
        </w:rPr>
        <w:t>对</w:t>
      </w:r>
      <w:r>
        <w:rPr>
          <w:rFonts w:hint="eastAsia" w:ascii="仿宋" w:hAnsi="仿宋" w:eastAsia="仿宋" w:cs="仿宋"/>
          <w:sz w:val="32"/>
          <w:szCs w:val="32"/>
          <w:lang w:eastAsia="zh-CN"/>
          <w14:ligatures w14:val="none"/>
        </w:rPr>
        <w:t>城市更新项目涉及公共服务设施的配建提出要求。</w:t>
      </w:r>
    </w:p>
    <w:p>
      <w:pPr>
        <w:pStyle w:val="20"/>
        <w:keepNext w:val="0"/>
        <w:keepLines w:val="0"/>
        <w:pageBreakBefore w:val="0"/>
        <w:widowControl w:val="0"/>
        <w:kinsoku/>
        <w:wordWrap/>
        <w:overflowPunct/>
        <w:topLinePunct w:val="0"/>
        <w:autoSpaceDE/>
        <w:autoSpaceDN/>
        <w:bidi w:val="0"/>
        <w:adjustRightInd/>
        <w:snapToGrid/>
        <w:spacing w:after="157" w:afterLines="50"/>
        <w:textAlignment w:val="auto"/>
        <w:outlineLvl w:val="2"/>
        <w:rPr>
          <w:sz w:val="32"/>
          <w:szCs w:val="32"/>
        </w:rPr>
      </w:pPr>
      <w:r>
        <w:rPr>
          <w:rFonts w:hint="eastAsia"/>
          <w:sz w:val="32"/>
          <w:szCs w:val="32"/>
        </w:rPr>
        <w:t>《宁夏回族自治区城乡社区公共服务设施配置规划指引》</w:t>
      </w:r>
      <w:r>
        <w:rPr>
          <w:rFonts w:hint="eastAsia" w:ascii="仿宋" w:hAnsi="仿宋" w:eastAsia="仿宋" w:cs="仿宋"/>
          <w:sz w:val="32"/>
          <w:lang w:val="en-US" w:eastAsia="zh-CN"/>
        </w:rPr>
        <w:t>（修订）</w:t>
      </w:r>
      <w:r>
        <w:rPr>
          <w:rFonts w:hint="eastAsia" w:ascii="仿宋_GB2312" w:hAnsi="方正仿宋_GBK" w:eastAsia="仿宋_GB2312" w:cs="方正仿宋_GBK"/>
          <w:color w:val="auto"/>
          <w:sz w:val="32"/>
          <w:lang w:val="en-US"/>
          <w14:ligatures w14:val="none"/>
        </w:rPr>
        <w:t>（</w:t>
      </w:r>
      <w:r>
        <w:rPr>
          <w:rFonts w:hint="eastAsia" w:ascii="仿宋_GB2312" w:hAnsi="方正仿宋_GBK" w:eastAsia="仿宋_GB2312" w:cs="方正仿宋_GBK"/>
          <w:color w:val="auto"/>
          <w:sz w:val="32"/>
          <w:lang w:val="en-US" w:eastAsia="zh-CN"/>
          <w14:ligatures w14:val="none"/>
        </w:rPr>
        <w:t>征求意见</w:t>
      </w:r>
      <w:r>
        <w:rPr>
          <w:rFonts w:hint="eastAsia" w:ascii="仿宋_GB2312" w:hAnsi="方正仿宋_GBK" w:eastAsia="仿宋_GB2312" w:cs="方正仿宋_GBK"/>
          <w:color w:val="auto"/>
          <w:sz w:val="32"/>
          <w:lang w:val="en-US"/>
          <w14:ligatures w14:val="none"/>
        </w:rPr>
        <w:t>稿）</w:t>
      </w:r>
      <w:bookmarkStart w:id="107" w:name="_GoBack"/>
      <w:bookmarkEnd w:id="107"/>
      <w:r>
        <w:rPr>
          <w:rFonts w:hint="eastAsia"/>
          <w:sz w:val="32"/>
          <w:szCs w:val="32"/>
        </w:rPr>
        <w:t>条文对照表</w:t>
      </w:r>
    </w:p>
    <w:tbl>
      <w:tblPr>
        <w:tblStyle w:val="11"/>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4"/>
        <w:gridCol w:w="4354"/>
        <w:gridCol w:w="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804"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14:ligatures w14:val="standardContextual"/>
              </w:rPr>
            </w:pPr>
            <w:r>
              <w:rPr>
                <w:rFonts w:hint="eastAsia" w:ascii="宋体" w:hAnsi="宋体" w:eastAsia="宋体" w:cs="宋体"/>
                <w:b/>
                <w:bCs/>
                <w:sz w:val="21"/>
                <w:szCs w:val="21"/>
                <w:highlight w:val="none"/>
                <w:lang w:val="en-US" w:eastAsia="zh-CN"/>
                <w14:ligatures w14:val="standardContextual"/>
              </w:rPr>
              <w:t>修改后条文</w:t>
            </w:r>
          </w:p>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14:ligatures w14:val="standardContextual"/>
              </w:rPr>
            </w:pPr>
            <w:r>
              <w:rPr>
                <w:rFonts w:hint="eastAsia" w:ascii="宋体" w:hAnsi="宋体" w:eastAsia="宋体" w:cs="宋体"/>
                <w:b/>
                <w:bCs/>
                <w:sz w:val="21"/>
                <w:szCs w:val="21"/>
                <w:highlight w:val="none"/>
                <w:lang w:val="en-US" w:eastAsia="zh-CN"/>
                <w14:ligatures w14:val="standardContextual"/>
              </w:rPr>
              <w:t>（</w:t>
            </w:r>
            <w:r>
              <w:rPr>
                <w:rFonts w:hint="eastAsia" w:ascii="宋体" w:hAnsi="宋体" w:eastAsia="宋体" w:cs="宋体"/>
                <w:b/>
                <w:bCs/>
                <w:color w:val="FF0000"/>
                <w:sz w:val="21"/>
                <w:szCs w:val="21"/>
                <w:highlight w:val="none"/>
                <w:lang w:val="en-US" w:eastAsia="zh-CN"/>
                <w14:ligatures w14:val="standardContextual"/>
              </w:rPr>
              <w:t>红色</w:t>
            </w:r>
            <w:r>
              <w:rPr>
                <w:rFonts w:hint="eastAsia" w:ascii="宋体" w:hAnsi="宋体" w:eastAsia="宋体" w:cs="宋体"/>
                <w:b/>
                <w:bCs/>
                <w:sz w:val="21"/>
                <w:szCs w:val="21"/>
                <w:highlight w:val="none"/>
                <w:lang w:val="en-US" w:eastAsia="zh-CN"/>
                <w14:ligatures w14:val="standardContextual"/>
              </w:rPr>
              <w:t>字样为增加或修订内容）</w:t>
            </w:r>
          </w:p>
        </w:tc>
        <w:tc>
          <w:tcPr>
            <w:tcW w:w="4354"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14:ligatures w14:val="standardContextual"/>
              </w:rPr>
            </w:pPr>
            <w:r>
              <w:rPr>
                <w:rFonts w:hint="eastAsia" w:ascii="宋体" w:hAnsi="宋体" w:eastAsia="宋体" w:cs="宋体"/>
                <w:b/>
                <w:bCs/>
                <w:sz w:val="21"/>
                <w:szCs w:val="21"/>
                <w:highlight w:val="none"/>
                <w:lang w:val="en-US" w:eastAsia="zh-CN"/>
                <w14:ligatures w14:val="standardContextual"/>
              </w:rPr>
              <w:t>原条文</w:t>
            </w:r>
          </w:p>
        </w:tc>
        <w:tc>
          <w:tcPr>
            <w:tcW w:w="3891"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14:ligatures w14:val="standardContextual"/>
              </w:rPr>
            </w:pPr>
            <w:r>
              <w:rPr>
                <w:rFonts w:hint="eastAsia" w:ascii="宋体" w:hAnsi="宋体" w:eastAsia="宋体" w:cs="宋体"/>
                <w:b/>
                <w:bCs/>
                <w:sz w:val="21"/>
                <w:szCs w:val="21"/>
                <w:highlight w:val="none"/>
                <w:lang w:val="en-US" w:eastAsia="zh-CN"/>
                <w14:ligatures w14:val="standardContextual"/>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color w:val="FF0000"/>
                <w:sz w:val="21"/>
                <w:szCs w:val="21"/>
                <w:highlight w:val="none"/>
                <w:lang w:val="en-US" w:eastAsia="zh-CN"/>
                <w14:ligatures w14:val="standardContextual"/>
              </w:rPr>
            </w:pPr>
            <w:r>
              <w:rPr>
                <w:rFonts w:hint="eastAsia" w:ascii="宋体" w:hAnsi="宋体" w:eastAsia="宋体" w:cs="宋体"/>
                <w:b/>
                <w:bCs/>
                <w:color w:val="FF0000"/>
                <w:sz w:val="21"/>
                <w:szCs w:val="21"/>
                <w:highlight w:val="none"/>
                <w:lang w:val="en-US" w:eastAsia="zh-CN"/>
              </w:rPr>
              <w:t>前言</w:t>
            </w:r>
          </w:p>
        </w:tc>
        <w:tc>
          <w:tcPr>
            <w:tcW w:w="4354"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14:ligatures w14:val="standardContextual"/>
              </w:rPr>
            </w:pPr>
          </w:p>
        </w:tc>
        <w:tc>
          <w:tcPr>
            <w:tcW w:w="3891"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为贯彻落实国务院关于建设现代化人民城市、统筹推进新型城镇化和乡村全面振兴的有关部署，坚持以人民为中心的发展思想，强化规划指引，全面推进城乡社区公共服务设施配套标准化，满足人民群众对美好生活的需求，结合我区发展实际，对《宁夏城乡社区公共服务设施配置规划指引（试行）》进行修订。</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本指引由宁夏回族自治区自然资源厅负责管理和解释。在执行过程中如有意见或建议，请反馈至宁夏回族自治区自然资源厅。</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w:t>
            </w:r>
          </w:p>
        </w:tc>
        <w:tc>
          <w:tcPr>
            <w:tcW w:w="3891"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【新增内容】</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highlight w:val="none"/>
                <w:lang w:val="en-US" w:eastAsia="zh-CN"/>
              </w:rPr>
              <w:t>在原指引的基础上结合最新文件提法增加前言部分。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cs="Times New Roman"/>
                <w:b/>
                <w:bCs/>
                <w:color w:val="FF0000"/>
                <w:szCs w:val="21"/>
                <w:lang w:val="en-US"/>
              </w:rPr>
              <w:t>目录</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p>
        </w:tc>
        <w:tc>
          <w:tcPr>
            <w:tcW w:w="3891"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cs="Times New Roman"/>
                <w:b/>
                <w:bCs/>
                <w:color w:val="FF0000"/>
                <w:szCs w:val="21"/>
                <w:lang w:val="en-US"/>
              </w:rPr>
            </w:pPr>
            <w:r>
              <w:rPr>
                <w:rFonts w:hint="default"/>
              </w:rPr>
              <w:drawing>
                <wp:inline distT="0" distB="0" distL="114300" distR="114300">
                  <wp:extent cx="1530350" cy="1076960"/>
                  <wp:effectExtent l="0" t="0" r="12700" b="889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8"/>
                          <a:srcRect l="10417" t="23746" r="57817" b="36546"/>
                          <a:stretch>
                            <a:fillRect/>
                          </a:stretch>
                        </pic:blipFill>
                        <pic:spPr>
                          <a:xfrm>
                            <a:off x="0" y="0"/>
                            <a:ext cx="1530350" cy="107696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w:t>
            </w:r>
          </w:p>
        </w:tc>
        <w:tc>
          <w:tcPr>
            <w:tcW w:w="3891"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r>
              <w:rPr>
                <w:rFonts w:hint="eastAsia" w:ascii="宋体" w:hAnsi="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lang w:val="en-US" w:eastAsia="zh-CN"/>
              </w:rPr>
              <w:t>总则</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总则</w:t>
            </w:r>
          </w:p>
        </w:tc>
        <w:tc>
          <w:tcPr>
            <w:tcW w:w="3891"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1.1 为了全面推进城乡</w:t>
            </w:r>
            <w:r>
              <w:rPr>
                <w:rFonts w:hint="eastAsia" w:ascii="宋体" w:hAnsi="宋体" w:eastAsia="宋体" w:cs="宋体"/>
                <w:b w:val="0"/>
                <w:bCs w:val="0"/>
                <w:color w:val="FF0000"/>
                <w:sz w:val="21"/>
                <w:szCs w:val="21"/>
                <w:highlight w:val="none"/>
                <w:lang w:val="en-US" w:eastAsia="zh-CN"/>
              </w:rPr>
              <w:t>融合</w:t>
            </w:r>
            <w:r>
              <w:rPr>
                <w:rFonts w:hint="eastAsia" w:ascii="宋体" w:hAnsi="宋体" w:eastAsia="宋体" w:cs="宋体"/>
                <w:b w:val="0"/>
                <w:bCs w:val="0"/>
                <w:sz w:val="21"/>
                <w:szCs w:val="21"/>
                <w:highlight w:val="none"/>
                <w:lang w:val="en-US" w:eastAsia="zh-CN"/>
              </w:rPr>
              <w:t>发展，实现城乡基本公共服务均等化，满足城乡居民日益提高的物质和精神文化需求，确保城乡公共服务设施配置更加科学、均衡、完善，进一步改善民生，促进社会和谐，建设宜居城乡社区，提高</w:t>
            </w:r>
            <w:r>
              <w:rPr>
                <w:rFonts w:hint="eastAsia" w:ascii="宋体" w:hAnsi="宋体" w:eastAsia="宋体" w:cs="宋体"/>
                <w:b w:val="0"/>
                <w:bCs w:val="0"/>
                <w:color w:val="FF0000"/>
                <w:sz w:val="21"/>
                <w:szCs w:val="21"/>
                <w:highlight w:val="none"/>
                <w:lang w:val="en-US" w:eastAsia="zh-CN"/>
              </w:rPr>
              <w:t>国土空间规划</w:t>
            </w:r>
            <w:r>
              <w:rPr>
                <w:rFonts w:hint="eastAsia" w:ascii="宋体" w:hAnsi="宋体" w:eastAsia="宋体" w:cs="宋体"/>
                <w:b w:val="0"/>
                <w:bCs w:val="0"/>
                <w:sz w:val="21"/>
                <w:szCs w:val="21"/>
                <w:highlight w:val="none"/>
                <w:lang w:val="en-US" w:eastAsia="zh-CN"/>
              </w:rPr>
              <w:t>编制和管理的标准化、规范化水平，依据国家及自治区相关标准、规范，结合我区实际和发展需要，制定本指引。</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为了全面推进城乡统筹发展，实现城乡基本公共服务均等化，满足城乡居民日益提高的物质和精神文化需求，确保城乡公共服务设施配置更加科学、均衡、完善，进一步改善民生，促进社会和谐，建设宜居城乡社区，提高城乡规划编制和管理的标准化、规范化水平，依据国家及自治区相关标准、规范，结合我区实际和发展需要，特制定《宁夏回族自治区城乡社区公共服务设施配置规划指引（试行）》（以下简称指引）。</w:t>
            </w:r>
          </w:p>
        </w:tc>
        <w:tc>
          <w:tcPr>
            <w:tcW w:w="3891"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【调整条文】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结合最新文件提法，修改部分表述：将“城乡统筹发展”修改为“城乡融合发展”；“城乡规划”修改为“国土空间规划”。</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《中共中央 国务院关于建立健全城乡融合发展体制机制和政策体系的意见》明确提出要“建立健全城乡融合发展体制机制和政策体系，走城乡融合发展之路”。</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sz w:val="21"/>
                <w:szCs w:val="21"/>
                <w:highlight w:val="none"/>
                <w:lang w:val="en-US" w:eastAsia="zh-CN"/>
              </w:rPr>
              <w:t>《中共中央 国务院关于建立国土空间规划体系并监督实施的若干意见》明确提出“将主体功能区规划、土地利用规划、城乡规划等空间规划融合为统一的国土空间规划”。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1.2 本指引以《中华人民共和国城乡规划法》《宁夏回族自治区村庄建设规划编制导则》等国家、区、市相关法律法规及其各相关部门的技术标准规范为依据，按照宁夏城乡统筹发展的目标和要求，参照同类地区的技术标准与准则，与宁夏经济社会发展水平相适应而制定。</w:t>
            </w:r>
          </w:p>
        </w:tc>
        <w:tc>
          <w:tcPr>
            <w:tcW w:w="3891" w:type="dxa"/>
            <w:noWrap w:val="0"/>
            <w:vAlign w:val="center"/>
          </w:tcPr>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本次修订新增“引用文件及标准名录”，本条相关依据移至该部分内容中。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1.2 本指引适用于我区</w:t>
            </w:r>
            <w:r>
              <w:rPr>
                <w:rFonts w:hint="eastAsia" w:ascii="宋体" w:hAnsi="宋体" w:eastAsia="宋体" w:cs="宋体"/>
                <w:b w:val="0"/>
                <w:bCs w:val="0"/>
                <w:color w:val="FF0000"/>
                <w:sz w:val="21"/>
                <w:szCs w:val="21"/>
                <w:highlight w:val="none"/>
                <w:lang w:val="en-US" w:eastAsia="zh-CN"/>
              </w:rPr>
              <w:t>城镇社区和乡村社区</w:t>
            </w:r>
            <w:r>
              <w:rPr>
                <w:rFonts w:hint="eastAsia" w:ascii="宋体" w:hAnsi="宋体" w:eastAsia="宋体" w:cs="宋体"/>
                <w:b w:val="0"/>
                <w:bCs w:val="0"/>
                <w:sz w:val="21"/>
                <w:szCs w:val="21"/>
                <w:highlight w:val="none"/>
                <w:lang w:val="en-US" w:eastAsia="zh-CN"/>
              </w:rPr>
              <w:t>公共服务设施的规划、设计、建设和管理。</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本指引适用于我区各市各城市社区、小城镇社区和农村社区公共服务设施的规划、设计、建设和管理。对城市旧区的更新改造，可依据本指引的基本原则和要求，进行必要的调整，以确保配套公共服务设施规划切实可行，并达到应有的标准和服务水平。</w:t>
            </w:r>
            <w:r>
              <w:rPr>
                <w:rFonts w:hint="eastAsia" w:ascii="宋体" w:hAnsi="宋体" w:eastAsia="宋体" w:cs="宋体"/>
                <w:b/>
                <w:bCs/>
                <w:color w:val="auto"/>
                <w:sz w:val="21"/>
                <w:szCs w:val="21"/>
                <w:highlight w:val="none"/>
                <w:lang w:val="en-US" w:eastAsia="zh-CN"/>
              </w:rPr>
              <w:t>对现状小城镇社区和农村社区的更新改造，可参照本指引优化和完善基本公共服务设施配套，提高配套标准和服务水平。</w:t>
            </w:r>
          </w:p>
        </w:tc>
        <w:tc>
          <w:tcPr>
            <w:tcW w:w="3891" w:type="dxa"/>
            <w:noWrap w:val="0"/>
            <w:vAlign w:val="center"/>
          </w:tcPr>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numPr>
                <w:ilvl w:val="0"/>
                <w:numId w:val="3"/>
              </w:numPr>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将“城市社区、小城镇社区和农村社区”修改为“城镇社区和乡村社区”。</w:t>
            </w:r>
          </w:p>
          <w:p>
            <w:pPr>
              <w:pStyle w:val="15"/>
              <w:keepNext w:val="0"/>
              <w:keepLines w:val="0"/>
              <w:pageBreakBefore w:val="0"/>
              <w:numPr>
                <w:ilvl w:val="0"/>
                <w:numId w:val="0"/>
              </w:numPr>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《社区生活圈规划技术指南》（TDT1062-2021）明确将社区划分为城镇社区和乡村社区两大类。</w:t>
            </w:r>
          </w:p>
          <w:p>
            <w:pPr>
              <w:pStyle w:val="15"/>
              <w:keepNext w:val="0"/>
              <w:keepLines w:val="0"/>
              <w:pageBreakBefore w:val="0"/>
              <w:widowControl w:val="0"/>
              <w:numPr>
                <w:ilvl w:val="0"/>
                <w:numId w:val="3"/>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对涉及现状设施更新改造的，将相关内容统一在1.5城市更新配置要求中表述。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p>
        </w:tc>
        <w:tc>
          <w:tcPr>
            <w:tcW w:w="435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1.4本指引随着我区经济社会的发展和城乡规划建设的需要，可适时进行调整、补充和完善。</w:t>
            </w:r>
          </w:p>
        </w:tc>
        <w:tc>
          <w:tcPr>
            <w:tcW w:w="3891" w:type="dxa"/>
            <w:shd w:val="clear" w:color="auto" w:fill="auto"/>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本指引作为规范性文件，如需进行调整需要按照文件印发程序对指引进行修改，为符合规范性文件相关要求，删除本表述。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1.3 城乡社区公共服务设施的配置</w:t>
            </w:r>
            <w:r>
              <w:rPr>
                <w:rFonts w:hint="eastAsia" w:ascii="宋体" w:hAnsi="宋体" w:eastAsia="宋体" w:cs="宋体"/>
                <w:b w:val="0"/>
                <w:bCs w:val="0"/>
                <w:color w:val="FF0000"/>
                <w:sz w:val="21"/>
                <w:szCs w:val="21"/>
                <w:highlight w:val="none"/>
                <w:lang w:val="en-US" w:eastAsia="zh-CN"/>
              </w:rPr>
              <w:t>应遵循以人为本、科学系统、安全可靠、因地制宜、节约集约、资源共享</w:t>
            </w:r>
            <w:r>
              <w:rPr>
                <w:rFonts w:hint="eastAsia" w:ascii="宋体" w:hAnsi="宋体" w:eastAsia="宋体" w:cs="宋体"/>
                <w:b w:val="0"/>
                <w:bCs w:val="0"/>
                <w:sz w:val="21"/>
                <w:szCs w:val="21"/>
                <w:highlight w:val="none"/>
                <w:lang w:val="en-US" w:eastAsia="zh-CN"/>
              </w:rPr>
              <w:t>的原则。</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1.5城乡社区公共服务设施的配置与相关规划，应遵循科学、系统、兼容、创新、继承、适度超前的原则。</w:t>
            </w:r>
          </w:p>
        </w:tc>
        <w:tc>
          <w:tcPr>
            <w:tcW w:w="3891" w:type="dxa"/>
            <w:noWrap w:val="0"/>
            <w:vAlign w:val="center"/>
          </w:tcPr>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numPr>
                <w:ilvl w:val="0"/>
                <w:numId w:val="0"/>
              </w:numPr>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sz w:val="21"/>
                <w:szCs w:val="21"/>
                <w:highlight w:val="none"/>
                <w:lang w:val="en-US" w:eastAsia="zh-CN"/>
              </w:rPr>
              <w:t>配置原则中</w:t>
            </w:r>
            <w:r>
              <w:rPr>
                <w:rFonts w:hint="eastAsia" w:ascii="宋体" w:hAnsi="宋体" w:eastAsia="宋体" w:cs="宋体"/>
                <w:b w:val="0"/>
                <w:bCs w:val="0"/>
                <w:color w:val="auto"/>
                <w:sz w:val="21"/>
                <w:szCs w:val="21"/>
                <w:highlight w:val="none"/>
                <w:lang w:val="en-US" w:eastAsia="zh-CN"/>
              </w:rPr>
              <w:t>增加安全、节约、共享等方面内容。</w:t>
            </w:r>
          </w:p>
          <w:p>
            <w:pPr>
              <w:pStyle w:val="15"/>
              <w:keepNext w:val="0"/>
              <w:keepLines w:val="0"/>
              <w:pageBreakBefore w:val="0"/>
              <w:numPr>
                <w:ilvl w:val="0"/>
                <w:numId w:val="0"/>
              </w:numPr>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《社区生活圈规划技术指南》（TDT1062-2021）提出</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公共服务设施配置应遵循“以人为本、科学系统、安全可靠、因地制宜、节约集约”的原则。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bookmarkStart w:id="20" w:name="_Toc19633"/>
            <w:bookmarkStart w:id="21" w:name="_Toc21449"/>
            <w:bookmarkStart w:id="22" w:name="_Toc32606"/>
            <w:bookmarkStart w:id="23" w:name="_Toc11996"/>
            <w:bookmarkStart w:id="24" w:name="_Toc23877"/>
            <w:bookmarkStart w:id="25" w:name="_Toc4202"/>
            <w:bookmarkStart w:id="26" w:name="_Toc6188"/>
            <w:r>
              <w:rPr>
                <w:rFonts w:hint="eastAsia" w:ascii="宋体" w:hAnsi="宋体" w:eastAsia="宋体" w:cs="宋体"/>
                <w:b w:val="0"/>
                <w:bCs w:val="0"/>
                <w:sz w:val="21"/>
                <w:szCs w:val="21"/>
                <w:highlight w:val="none"/>
                <w:lang w:val="en-US" w:eastAsia="zh-CN"/>
              </w:rPr>
              <w:t>1.</w:t>
            </w:r>
            <w:bookmarkEnd w:id="20"/>
            <w:bookmarkEnd w:id="21"/>
            <w:bookmarkEnd w:id="22"/>
            <w:bookmarkEnd w:id="23"/>
            <w:bookmarkEnd w:id="24"/>
            <w:bookmarkEnd w:id="25"/>
            <w:bookmarkEnd w:id="26"/>
            <w:r>
              <w:rPr>
                <w:rFonts w:hint="eastAsia" w:ascii="宋体" w:hAnsi="宋体" w:eastAsia="宋体" w:cs="宋体"/>
                <w:b w:val="0"/>
                <w:bCs w:val="0"/>
                <w:sz w:val="21"/>
                <w:szCs w:val="21"/>
                <w:highlight w:val="none"/>
                <w:lang w:val="en-US" w:eastAsia="zh-CN"/>
              </w:rPr>
              <w:t>4 本指引中涉及公共服务设施用地的内容或规定为指导性要求。在</w:t>
            </w:r>
            <w:r>
              <w:rPr>
                <w:rFonts w:hint="eastAsia" w:ascii="宋体" w:hAnsi="宋体" w:eastAsia="宋体" w:cs="宋体"/>
                <w:b w:val="0"/>
                <w:bCs w:val="0"/>
                <w:color w:val="FF0000"/>
                <w:sz w:val="21"/>
                <w:szCs w:val="21"/>
                <w:highlight w:val="none"/>
                <w:lang w:val="en-US" w:eastAsia="zh-CN"/>
              </w:rPr>
              <w:t>城乡社区</w:t>
            </w:r>
            <w:r>
              <w:rPr>
                <w:rFonts w:hint="eastAsia" w:ascii="宋体" w:hAnsi="宋体" w:eastAsia="宋体" w:cs="宋体"/>
                <w:b w:val="0"/>
                <w:bCs w:val="0"/>
                <w:sz w:val="21"/>
                <w:szCs w:val="21"/>
                <w:highlight w:val="none"/>
                <w:lang w:val="en-US" w:eastAsia="zh-CN"/>
              </w:rPr>
              <w:t>进行规划编制和管理除参照本指引外，应符合国家、自治区和市现行的有关法律法规及其强制性标准的规定。</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1.6本指引中涉及公共服务设施用地的内容或规定为指导性要求。在城市社区、小城镇社区和农村社区进行规划编制和管理除参照本指引外，应符合国家、自治区和市现行的有关法律法规及其强制性标准的规定。</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sz w:val="21"/>
                <w:szCs w:val="21"/>
                <w:highlight w:val="none"/>
                <w:lang w:val="en-US" w:eastAsia="zh-CN"/>
              </w:rPr>
              <w:t>结合1.1</w:t>
            </w:r>
            <w:r>
              <w:rPr>
                <w:rFonts w:hint="eastAsia" w:ascii="宋体" w:hAnsi="宋体" w:cs="宋体"/>
                <w:b w:val="0"/>
                <w:bCs w:val="0"/>
                <w:sz w:val="21"/>
                <w:szCs w:val="21"/>
                <w:highlight w:val="none"/>
                <w:lang w:val="en-US" w:eastAsia="zh-CN"/>
              </w:rPr>
              <w:t>，</w:t>
            </w:r>
            <w:r>
              <w:rPr>
                <w:rFonts w:hint="eastAsia" w:ascii="宋体" w:hAnsi="宋体" w:eastAsia="宋体" w:cs="宋体"/>
                <w:b w:val="0"/>
                <w:bCs w:val="0"/>
                <w:sz w:val="21"/>
                <w:szCs w:val="21"/>
                <w:highlight w:val="none"/>
                <w:lang w:val="en-US" w:eastAsia="zh-CN"/>
              </w:rPr>
              <w:t>将“</w:t>
            </w:r>
            <w:r>
              <w:rPr>
                <w:rFonts w:hint="eastAsia" w:ascii="宋体" w:hAnsi="宋体" w:eastAsia="宋体" w:cs="宋体"/>
                <w:b w:val="0"/>
                <w:bCs w:val="0"/>
                <w:color w:val="auto"/>
                <w:sz w:val="21"/>
                <w:szCs w:val="21"/>
                <w:highlight w:val="none"/>
                <w:lang w:val="en-US" w:eastAsia="zh-CN"/>
              </w:rPr>
              <w:t>城市社区、小城镇社区和农村社区</w:t>
            </w:r>
            <w:r>
              <w:rPr>
                <w:rFonts w:hint="eastAsia" w:ascii="宋体" w:hAnsi="宋体" w:eastAsia="宋体" w:cs="宋体"/>
                <w:b w:val="0"/>
                <w:bCs w:val="0"/>
                <w:sz w:val="21"/>
                <w:szCs w:val="21"/>
                <w:highlight w:val="none"/>
                <w:lang w:val="en-US" w:eastAsia="zh-CN"/>
              </w:rPr>
              <w:t>”修改为“城乡社区”。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rPr>
            </w:pPr>
            <w:bookmarkStart w:id="27" w:name="_Toc10234"/>
            <w:bookmarkStart w:id="28" w:name="_Toc11559"/>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1.7城市特殊功能区域，如风景名胜区、保税港区、高新技术产业开发区等的相关内容，另行规定。</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本次指引修订按照社区生活圈的概念对公共服务设施进行配置，以服务居民为核心，覆盖所有常住人口居住区域，城市特殊功能区域如有生活需求，可纳入生活圈统筹配置公共服务设施。因此删除本条</w:t>
            </w:r>
            <w:r>
              <w:rPr>
                <w:rFonts w:hint="eastAsia" w:ascii="宋体" w:hAnsi="宋体" w:eastAsia="宋体" w:cs="宋体"/>
                <w:b w:val="0"/>
                <w:bCs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1.5城市更新配置要求</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FF0000"/>
                <w:sz w:val="21"/>
                <w:szCs w:val="21"/>
                <w:highlight w:val="none"/>
              </w:rPr>
              <w:t>在保障公共安全的前提下，尊重历史、因地制宜，城市更新</w:t>
            </w:r>
            <w:r>
              <w:rPr>
                <w:rFonts w:hint="eastAsia" w:ascii="宋体" w:hAnsi="宋体" w:eastAsia="宋体" w:cs="宋体"/>
                <w:b w:val="0"/>
                <w:bCs w:val="0"/>
                <w:color w:val="FF0000"/>
                <w:sz w:val="21"/>
                <w:szCs w:val="21"/>
                <w:highlight w:val="none"/>
                <w:lang w:val="en-US" w:eastAsia="zh-CN"/>
              </w:rPr>
              <w:t>涉及公共服务设施更新改造</w:t>
            </w:r>
            <w:r>
              <w:rPr>
                <w:rFonts w:hint="eastAsia" w:ascii="宋体" w:hAnsi="宋体" w:eastAsia="宋体" w:cs="宋体"/>
                <w:b w:val="0"/>
                <w:bCs w:val="0"/>
                <w:color w:val="FF0000"/>
                <w:sz w:val="21"/>
                <w:szCs w:val="21"/>
                <w:highlight w:val="none"/>
              </w:rPr>
              <w:t>无法达到现行标准和规范的，以不低于现状条件为底线进行更新。</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【新增条文】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响应国家、自治区对城市更新的相关要求，明确城市更新涉及的公共服务设施配置要求。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numPr>
                <w:ilvl w:val="0"/>
                <w:numId w:val="0"/>
              </w:numPr>
              <w:suppressLineNumbers w:val="0"/>
              <w:tabs>
                <w:tab w:val="left" w:pos="420"/>
              </w:tabs>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lang w:val="en-US" w:eastAsia="zh-CN"/>
              </w:rPr>
            </w:pPr>
            <w:bookmarkStart w:id="29" w:name="_Toc25354"/>
            <w:bookmarkStart w:id="30" w:name="_Toc31955"/>
            <w:bookmarkStart w:id="31" w:name="_Toc28157"/>
            <w:bookmarkStart w:id="32" w:name="_Toc3777"/>
            <w:bookmarkStart w:id="33" w:name="_Toc32634"/>
            <w:bookmarkStart w:id="34" w:name="_Toc24879"/>
            <w:bookmarkStart w:id="35" w:name="_Toc27571"/>
            <w:bookmarkStart w:id="36" w:name="_Toc6242"/>
            <w:bookmarkStart w:id="37" w:name="_Toc30147"/>
            <w:bookmarkStart w:id="38" w:name="_Toc4635"/>
            <w:bookmarkStart w:id="39" w:name="_Toc27384"/>
            <w:bookmarkStart w:id="40" w:name="_Toc8989"/>
            <w:bookmarkStart w:id="41" w:name="_Toc14174"/>
            <w:bookmarkStart w:id="42" w:name="_Toc25395"/>
            <w:bookmarkStart w:id="43" w:name="_Toc20574"/>
            <w:bookmarkStart w:id="44" w:name="_Toc17880"/>
            <w:bookmarkStart w:id="45" w:name="_Toc20309"/>
            <w:bookmarkStart w:id="46" w:name="_Toc20473"/>
            <w:bookmarkStart w:id="47" w:name="_Toc1021"/>
            <w:bookmarkStart w:id="48" w:name="_Toc29682"/>
            <w:r>
              <w:rPr>
                <w:rFonts w:hint="eastAsia" w:ascii="宋体" w:hAnsi="宋体" w:eastAsia="宋体" w:cs="宋体"/>
                <w:b w:val="0"/>
                <w:bCs w:val="0"/>
                <w:kern w:val="0"/>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术语</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5.术语和用词说明</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将原分散在各章节中的术语统一放置在本章“术语”中。</w:t>
            </w:r>
          </w:p>
        </w:tc>
      </w:tr>
      <w:bookmarkEnd w:id="27"/>
      <w:bookmarkEnd w:id="28"/>
      <w:bookmarkEnd w:id="29"/>
      <w:bookmarkEnd w:id="30"/>
      <w:bookmarkEnd w:id="31"/>
      <w:bookmarkEnd w:id="32"/>
      <w:bookmarkEnd w:id="33"/>
      <w:bookmarkEnd w:id="34"/>
      <w:bookmarkEnd w:id="35"/>
      <w:bookmarkEnd w:id="36"/>
      <w:bookmarkEnd w:id="37"/>
      <w:bookmarkEnd w:id="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numPr>
                <w:ilvl w:val="0"/>
                <w:numId w:val="0"/>
              </w:numPr>
              <w:suppressLineNumbers w:val="0"/>
              <w:tabs>
                <w:tab w:val="left" w:pos="420"/>
              </w:tabs>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2.1社区</w:t>
            </w:r>
            <w:bookmarkEnd w:id="39"/>
            <w:bookmarkEnd w:id="40"/>
            <w:bookmarkEnd w:id="41"/>
            <w:bookmarkEnd w:id="42"/>
            <w:bookmarkEnd w:id="43"/>
            <w:bookmarkEnd w:id="44"/>
            <w:bookmarkEnd w:id="45"/>
            <w:bookmarkEnd w:id="46"/>
            <w:bookmarkEnd w:id="47"/>
            <w:bookmarkEnd w:id="48"/>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聚居在一定地域范围内的人们所组成的社会生活共同体，是社会治理的基本单元。</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49" w:name="_Toc1036"/>
            <w:bookmarkStart w:id="50" w:name="_Toc13390"/>
            <w:bookmarkStart w:id="51" w:name="_Toc24210"/>
            <w:bookmarkStart w:id="52" w:name="_Toc29909"/>
            <w:bookmarkStart w:id="53" w:name="_Toc22543"/>
            <w:bookmarkStart w:id="54" w:name="_Toc30727"/>
            <w:bookmarkStart w:id="55" w:name="_Toc27273"/>
            <w:bookmarkStart w:id="56" w:name="_Toc23422"/>
            <w:bookmarkStart w:id="57" w:name="_Toc2004"/>
            <w:r>
              <w:rPr>
                <w:rFonts w:hint="eastAsia" w:ascii="宋体" w:hAnsi="宋体" w:eastAsia="宋体" w:cs="宋体"/>
                <w:b w:val="0"/>
                <w:bCs w:val="0"/>
                <w:color w:val="FF0000"/>
                <w:sz w:val="21"/>
                <w:szCs w:val="21"/>
                <w:highlight w:val="none"/>
                <w:lang w:val="en-US" w:eastAsia="zh-CN"/>
              </w:rPr>
              <w:t>2.2城镇社区</w:t>
            </w:r>
            <w:bookmarkEnd w:id="49"/>
            <w:bookmarkEnd w:id="50"/>
            <w:bookmarkEnd w:id="51"/>
            <w:bookmarkEnd w:id="52"/>
            <w:bookmarkEnd w:id="53"/>
            <w:bookmarkEnd w:id="54"/>
            <w:bookmarkEnd w:id="55"/>
            <w:bookmarkEnd w:id="56"/>
            <w:bookmarkEnd w:id="57"/>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聚居在城市、县城和建制镇范围内的人们所组成的社会生活共同体，是城市、县城和建制镇社会治理的基本单元。</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58" w:name="_Toc7475"/>
            <w:bookmarkStart w:id="59" w:name="_Toc25657"/>
            <w:bookmarkStart w:id="60" w:name="_Toc10464"/>
            <w:bookmarkStart w:id="61" w:name="_Toc12214"/>
            <w:bookmarkStart w:id="62" w:name="_Toc4280"/>
            <w:bookmarkStart w:id="63" w:name="_Toc17955"/>
            <w:bookmarkStart w:id="64" w:name="_Toc7209"/>
            <w:bookmarkStart w:id="65" w:name="_Toc31075"/>
            <w:bookmarkStart w:id="66" w:name="_Toc21698"/>
            <w:r>
              <w:rPr>
                <w:rFonts w:hint="eastAsia" w:ascii="宋体" w:hAnsi="宋体" w:eastAsia="宋体" w:cs="宋体"/>
                <w:b w:val="0"/>
                <w:bCs w:val="0"/>
                <w:color w:val="FF0000"/>
                <w:sz w:val="21"/>
                <w:szCs w:val="21"/>
                <w:highlight w:val="none"/>
                <w:lang w:val="en-US" w:eastAsia="zh-CN"/>
              </w:rPr>
              <w:t>2.3乡村社区</w:t>
            </w:r>
            <w:bookmarkEnd w:id="58"/>
            <w:bookmarkEnd w:id="59"/>
            <w:bookmarkEnd w:id="60"/>
            <w:bookmarkEnd w:id="61"/>
            <w:bookmarkEnd w:id="62"/>
            <w:bookmarkEnd w:id="63"/>
            <w:bookmarkEnd w:id="64"/>
            <w:bookmarkEnd w:id="65"/>
            <w:bookmarkEnd w:id="66"/>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聚居在乡集镇、行政村范围内的人们所组成的社会生活共同体，是乡集镇、行政村社会治理的基本单元。</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67" w:name="_Toc10570"/>
            <w:bookmarkStart w:id="68" w:name="_Toc30171"/>
            <w:bookmarkStart w:id="69" w:name="_Toc403"/>
            <w:bookmarkStart w:id="70" w:name="_Toc22175"/>
            <w:bookmarkStart w:id="71" w:name="_Toc28551"/>
            <w:bookmarkStart w:id="72" w:name="_Toc24894"/>
            <w:bookmarkStart w:id="73" w:name="_Toc15723"/>
            <w:bookmarkStart w:id="74" w:name="_Toc27971"/>
            <w:bookmarkStart w:id="75" w:name="_Toc27620"/>
            <w:bookmarkStart w:id="76" w:name="_Toc717"/>
            <w:r>
              <w:rPr>
                <w:rFonts w:hint="eastAsia" w:ascii="宋体" w:hAnsi="宋体" w:eastAsia="宋体" w:cs="宋体"/>
                <w:b w:val="0"/>
                <w:bCs w:val="0"/>
                <w:color w:val="FF0000"/>
                <w:sz w:val="21"/>
                <w:szCs w:val="21"/>
                <w:highlight w:val="none"/>
                <w:lang w:val="en-US" w:eastAsia="zh-CN"/>
              </w:rPr>
              <w:t>2.4社区生活圈</w:t>
            </w:r>
            <w:bookmarkEnd w:id="67"/>
            <w:bookmarkEnd w:id="68"/>
            <w:bookmarkEnd w:id="69"/>
            <w:bookmarkEnd w:id="70"/>
            <w:bookmarkEnd w:id="71"/>
            <w:bookmarkEnd w:id="72"/>
            <w:bookmarkEnd w:id="73"/>
            <w:bookmarkEnd w:id="74"/>
            <w:bookmarkEnd w:id="75"/>
            <w:bookmarkEnd w:id="76"/>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在适宜的日常步行范围内，满足城乡居民全生命周期工作与生活等各类需求的基本单元，融合“宜业、宜居、宜游、宜养、宜学”多元功能，引领面向未来、健康低碳的美好生活方式。</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77" w:name="_Toc16538"/>
            <w:bookmarkStart w:id="78" w:name="_Toc5573"/>
            <w:bookmarkStart w:id="79" w:name="_Toc24597"/>
            <w:bookmarkStart w:id="80" w:name="_Toc30987"/>
            <w:r>
              <w:rPr>
                <w:rFonts w:hint="eastAsia" w:ascii="宋体" w:hAnsi="宋体" w:eastAsia="宋体" w:cs="宋体"/>
                <w:b w:val="0"/>
                <w:bCs w:val="0"/>
                <w:color w:val="FF0000"/>
                <w:sz w:val="21"/>
                <w:szCs w:val="21"/>
                <w:highlight w:val="none"/>
                <w:lang w:val="en-US" w:eastAsia="zh-CN"/>
              </w:rPr>
              <w:t>2.5 15分钟生活圈</w:t>
            </w:r>
            <w:bookmarkEnd w:id="77"/>
            <w:bookmarkEnd w:id="78"/>
            <w:bookmarkEnd w:id="79"/>
            <w:bookmarkEnd w:id="80"/>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color w:val="FF0000"/>
                <w:sz w:val="21"/>
                <w:szCs w:val="21"/>
                <w:highlight w:val="none"/>
              </w:rPr>
              <w:t>以居民步行15分钟可满足其物质与生活文化需求为原则划分的生活圈范围；一般由主干路或用地边界线所围合，居住人口规模为50000～100000人（约17000套～32000套住宅），配套设施完善的地区</w:t>
            </w:r>
            <w:r>
              <w:rPr>
                <w:rFonts w:hint="eastAsia" w:ascii="宋体" w:hAnsi="宋体" w:eastAsia="宋体" w:cs="宋体"/>
                <w:b w:val="0"/>
                <w:bCs w:val="0"/>
                <w:color w:val="FF0000"/>
                <w:sz w:val="21"/>
                <w:szCs w:val="21"/>
                <w:highlight w:val="none"/>
                <w:lang w:val="en-US" w:eastAsia="zh-CN"/>
              </w:rPr>
              <w:t>。</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81" w:name="_Toc5471"/>
            <w:bookmarkStart w:id="82" w:name="_Toc3800"/>
            <w:bookmarkStart w:id="83" w:name="_Toc30634"/>
            <w:bookmarkStart w:id="84" w:name="_Toc21687"/>
            <w:r>
              <w:rPr>
                <w:rFonts w:hint="eastAsia" w:ascii="宋体" w:hAnsi="宋体" w:eastAsia="宋体" w:cs="宋体"/>
                <w:b w:val="0"/>
                <w:bCs w:val="0"/>
                <w:color w:val="FF0000"/>
                <w:sz w:val="21"/>
                <w:szCs w:val="21"/>
                <w:highlight w:val="none"/>
                <w:lang w:val="en-US" w:eastAsia="zh-CN"/>
              </w:rPr>
              <w:t>2.6 5～10分钟生活圈</w:t>
            </w:r>
            <w:bookmarkEnd w:id="81"/>
            <w:bookmarkEnd w:id="82"/>
            <w:bookmarkEnd w:id="83"/>
            <w:bookmarkEnd w:id="84"/>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以居民步行5～10分钟可满足其基本物质与生活文化需求为原则划分的生活圈范围；一般由次干路、支路或用地边界线所围合，居住人口规模为5000～25000人（约1500套～8000套住宅）配建社区服务设施的地区。</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85" w:name="_Toc10723"/>
            <w:bookmarkStart w:id="86" w:name="_Toc13884"/>
            <w:bookmarkStart w:id="87" w:name="_Toc8366"/>
            <w:bookmarkStart w:id="88" w:name="_Toc8425"/>
            <w:bookmarkStart w:id="89" w:name="_Toc28480"/>
            <w:bookmarkStart w:id="90" w:name="_Toc9236"/>
            <w:bookmarkStart w:id="91" w:name="_Toc32038"/>
            <w:bookmarkStart w:id="92" w:name="_Toc20"/>
            <w:bookmarkStart w:id="93" w:name="_Toc25298"/>
            <w:bookmarkStart w:id="94" w:name="_Toc21332"/>
            <w:r>
              <w:rPr>
                <w:rFonts w:hint="eastAsia" w:ascii="宋体" w:hAnsi="宋体" w:eastAsia="宋体" w:cs="宋体"/>
                <w:b w:val="0"/>
                <w:bCs w:val="0"/>
                <w:color w:val="FF0000"/>
                <w:sz w:val="21"/>
                <w:szCs w:val="21"/>
                <w:highlight w:val="none"/>
                <w:lang w:val="en-US" w:eastAsia="zh-CN"/>
              </w:rPr>
              <w:t>2.7 社区公共服务设施</w:t>
            </w:r>
            <w:bookmarkEnd w:id="85"/>
            <w:bookmarkEnd w:id="86"/>
            <w:bookmarkEnd w:id="87"/>
            <w:bookmarkEnd w:id="88"/>
            <w:bookmarkEnd w:id="89"/>
            <w:bookmarkEnd w:id="90"/>
            <w:bookmarkEnd w:id="91"/>
            <w:bookmarkEnd w:id="92"/>
            <w:bookmarkEnd w:id="93"/>
            <w:bookmarkEnd w:id="94"/>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社区公共服务设施是指与居住人口规模相对应配建的，满足居住区居民或农村村民物质与文化生活需要，为其提供公共服务的设施总称。本规定中的社区公共服务设施不包括城市、县（区）级公共服务设施。</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3.1.1 小城镇社区基本公共服务设施，是指以建制镇（涉农街道）全域或片区（含镇区）范围内的居民为主要服务对象，提供较为综合全面的生活服务项目。</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4.1.2中心村基本公共服务设施，是指以本社区内1000～5000人左右以及周边若干基层社区为服务对象，提供基本、齐全的日常生产生活服务项目。</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4.1.3基层村基本公共服务设施，是指以本社区300～1000人左右为主要服务对象，提供最基本的日常生产生活服务项目。</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5.1.1公共服务设施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一般指城市中为经济社会发展服务的行政、商业、文化、 教育、医疗卫生、体育、社会福利等机构或设施，以及部分与居民日常生活关系密切的市政、交通、停车设施等。</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5.1.2基本公共服务设施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具有基本公共服务功能的一系列设施的总称，包括教育、卫生、文体、社会保障、行政管理、商业等社区服务设施和市政设施。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5.1.3公益性公共服务设施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一般指公共服务设施中非盈利的行政管理、教育科研、医疗卫生、文化体育、社会福利、市政公用等设施。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5.1.4经营性公共服务设施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一般指公共服务设施中以盈利为主的商业、金融（银行）等设施。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5.1.5控制性指标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主要指在进行规划、设计和建设时，必须执行的指标。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一般主要包括：用地性质、人均用地指标和建筑规模等</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5.1.6指导性指标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主要指在进行规划、设计和建设时，可根据或参照相关标准、市场需求确定的指标。例如商业设施的功能、规模和面积比例，可根据市场需要适当调整。</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5.1.7小城镇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农村地区镇街的镇区，包括中心镇和一般镇。按照宁夏的实际情况，可分为两类：（1）有行政建制的现状涉农街道或建制镇的镇区（镇街政府所在地）为其行政区域内的政治、经济、文化中心；（2）虽已撤销行政建制但规模较大且功能较为齐全的镇区。</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5.1.8中心镇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县域城镇体系规划中的各分区内，在经济、社会和空间发展中发挥中心作用的镇。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5.1.9一般镇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县域城镇体系规划中，中心镇以外的镇。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5.1.10中心村</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镇域镇村体系规划中，设有兼为周围村服务的公共设施的村。</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5.1.11基层村</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镇域镇村体系规划中，中心村以外的村。</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本次修订对社区层级和分类进行了调整，因此重新选取了术语进行解释。</w:t>
            </w:r>
            <w:r>
              <w:rPr>
                <w:rFonts w:hint="eastAsia" w:ascii="宋体" w:hAnsi="宋体" w:cs="宋体"/>
                <w:b w:val="0"/>
                <w:bCs w:val="0"/>
                <w:sz w:val="21"/>
                <w:szCs w:val="21"/>
                <w:highlight w:val="none"/>
                <w:lang w:val="en-US" w:eastAsia="zh-CN"/>
              </w:rPr>
              <w:t>其中：</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1.“社区”“社区生活圈”的术语解释来源于《社区生活圈规划技术指南》（TDT1062-2021）3.1和3.2条文。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2.“城镇社区”和“乡村社区”是在《社区生活圈规划技术指南》（TDT1062-2021）“3.1社区”概念的基础上，补充了城镇和乡村的范围。</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3.</w:t>
            </w:r>
            <w:r>
              <w:rPr>
                <w:rFonts w:hint="eastAsia" w:ascii="宋体" w:hAnsi="宋体" w:eastAsia="宋体" w:cs="宋体"/>
                <w:b w:val="0"/>
                <w:bCs w:val="0"/>
                <w:sz w:val="21"/>
                <w:szCs w:val="21"/>
                <w:highlight w:val="none"/>
                <w:lang w:val="en-US" w:eastAsia="zh-CN"/>
              </w:rPr>
              <w:t>“15分钟生活圈”和“5～10分钟生活圈”的含义，来源于《城市居住区规划设计标准》（GB50180-2018）的2.0.2到2.0.4条。</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cs="宋体"/>
                <w:b w:val="0"/>
                <w:bCs w:val="0"/>
                <w:sz w:val="21"/>
                <w:szCs w:val="21"/>
                <w:highlight w:val="none"/>
                <w:lang w:val="en-US" w:eastAsia="zh-CN"/>
              </w:rPr>
              <w:t>4.</w:t>
            </w:r>
            <w:r>
              <w:rPr>
                <w:rFonts w:hint="eastAsia" w:ascii="宋体" w:hAnsi="宋体" w:eastAsia="宋体" w:cs="宋体"/>
                <w:b w:val="0"/>
                <w:bCs w:val="0"/>
                <w:sz w:val="21"/>
                <w:szCs w:val="21"/>
                <w:highlight w:val="none"/>
                <w:lang w:val="en-US" w:eastAsia="zh-CN"/>
              </w:rPr>
              <w:t>“社区公共服务设施”参考《长沙市居住公共服务设施配置规定》的2.1条。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rPr>
            </w:pPr>
            <w:bookmarkStart w:id="95" w:name="_Toc10812"/>
            <w:bookmarkStart w:id="96" w:name="_Toc8946"/>
            <w:r>
              <w:rPr>
                <w:rFonts w:hint="eastAsia" w:ascii="宋体" w:hAnsi="宋体" w:eastAsia="宋体" w:cs="宋体"/>
                <w:b w:val="0"/>
                <w:bCs w:val="0"/>
                <w:color w:val="FF0000"/>
                <w:sz w:val="21"/>
                <w:szCs w:val="21"/>
                <w:highlight w:val="none"/>
                <w:lang w:val="en-US" w:eastAsia="zh-CN"/>
              </w:rPr>
              <w:t>3.城镇社区</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2.城市社区</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FF0000"/>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小城镇社区</w:t>
            </w:r>
          </w:p>
        </w:tc>
        <w:tc>
          <w:tcPr>
            <w:tcW w:w="3891" w:type="dxa"/>
            <w:noWrap w:val="0"/>
            <w:vAlign w:val="center"/>
          </w:tcPr>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color w:val="FF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val="0"/>
                <w:bCs w:val="0"/>
                <w:color w:val="FF0000"/>
                <w:sz w:val="21"/>
                <w:szCs w:val="21"/>
                <w:highlight w:val="none"/>
                <w:lang w:val="en-US" w:eastAsia="zh-CN"/>
              </w:rPr>
              <w:t>3.1配置要求</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2.1配置要求</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3.1配置要求</w:t>
            </w:r>
          </w:p>
        </w:tc>
        <w:tc>
          <w:tcPr>
            <w:tcW w:w="3891" w:type="dxa"/>
            <w:noWrap w:val="0"/>
            <w:vAlign w:val="center"/>
          </w:tcPr>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3.1.1 城镇社区公共服务设施分为15分钟社区生活圈公共服务设施、5～10分钟社区生活圈公共服务设施两个层级。</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2.1.2 综合考虑建设规模以及投资、布局方式等，可将服务设施分为三级：居住区级、居住小区级、居住组团级。配置要求表内一般规模分别按3万人、1.0万人、0.1万人计算。</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调整</w:t>
            </w:r>
            <w:r>
              <w:rPr>
                <w:rFonts w:hint="eastAsia" w:ascii="宋体" w:hAnsi="宋体" w:eastAsia="宋体" w:cs="宋体"/>
                <w:b/>
                <w:bCs/>
                <w:color w:val="auto"/>
                <w:sz w:val="21"/>
                <w:szCs w:val="21"/>
                <w:highlight w:val="none"/>
                <w:lang w:val="en-US" w:eastAsia="zh-CN"/>
              </w:rPr>
              <w:t>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1.将城镇社区配置层级修改为“15分钟、5～10分钟社区生活圈”两个层级。</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2.不同层级对应的人口规模在第二章相关术语中已明确，本条不再重复。</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3.调整本条顺序，将配置层级内容（原2.1.2条）调整为3.1.1，设施分类内容（原2.1.1条）调整为3.1.2。</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《社区生活圈规划技术指南》（TDT1062-2021）提出：城镇社区生活圈配置层级可构建“15分钟、5~10分钟”两个社区生活圈层级。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3.1.2 15分钟社区生活圈公共服务设施分为七大类16项，其中行政管理服务设施4项、文化设施1项、教育设施1项、体育设施2项、医疗卫生设施1项、社会福利设施2项、其他设施5项。5～10分钟社区生活圈公共服务设施分为七大类13项，包括行政管理服务设施1项、文化设施1项、教育设施3项、体育设施3项、医疗卫生设施1项、社会福利设施1项、其他设施3项。</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rPr>
              <w:drawing>
                <wp:inline distT="0" distB="0" distL="114300" distR="114300">
                  <wp:extent cx="3747135" cy="2141220"/>
                  <wp:effectExtent l="0" t="0" r="5715" b="11430"/>
                  <wp:docPr id="3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true"/>
                          </pic:cNvPicPr>
                        </pic:nvPicPr>
                        <pic:blipFill>
                          <a:blip r:embed="rId9"/>
                          <a:stretch>
                            <a:fillRect/>
                          </a:stretch>
                        </pic:blipFill>
                        <pic:spPr>
                          <a:xfrm>
                            <a:off x="0" y="0"/>
                            <a:ext cx="3747135" cy="214122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2.1.1 按其用地性质或使用功能，本指引将居住区公共服务设施分为八类：（1）教育设施；（2）文化娱乐设施：（3）体育健身设施；（4）行政管理与社区服务设施；（5）社会福利与保障设施；（6）医疗卫生设施；（7）商业金融服务设施；（8）市政公用设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3.1.2 按照使用功能，小城镇社区基本公共服务设施分为七种：（1）行政管理服务设施；（2）教育设施；（3）医疗卫生设施；（4）社会福利与保障设施；（5）文化体育设施；（6）商业金融服务设施；（7）市政公用设施。</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将“行政管理与社区服务设施”修改为“行政管理服务设施”；</w:t>
            </w:r>
            <w:r>
              <w:rPr>
                <w:rFonts w:hint="eastAsia" w:ascii="宋体" w:hAnsi="宋体" w:eastAsia="宋体" w:cs="宋体"/>
                <w:color w:val="auto"/>
                <w:sz w:val="21"/>
                <w:szCs w:val="21"/>
                <w:highlight w:val="none"/>
                <w:lang w:val="en-US" w:eastAsia="zh-CN"/>
              </w:rPr>
              <w:t>将“社会福利与保障设施”修改为“社会福利设施”；</w:t>
            </w:r>
            <w:r>
              <w:rPr>
                <w:rFonts w:hint="eastAsia" w:ascii="宋体" w:hAnsi="宋体" w:eastAsia="宋体" w:cs="宋体"/>
                <w:color w:val="auto"/>
                <w:kern w:val="0"/>
                <w:sz w:val="21"/>
                <w:szCs w:val="21"/>
                <w:highlight w:val="none"/>
                <w:lang w:val="en-US" w:eastAsia="zh-CN"/>
              </w:rPr>
              <w:t>将“市政公用设施”合并至“其他设施”；将“文化娱乐设施”“文化体育设施”“体育健身设施”修改为“文化设施”和“体育设施”；</w:t>
            </w:r>
            <w:r>
              <w:rPr>
                <w:rFonts w:hint="eastAsia" w:ascii="宋体" w:hAnsi="宋体" w:eastAsia="宋体" w:cs="宋体"/>
                <w:b w:val="0"/>
                <w:bCs w:val="0"/>
                <w:color w:val="auto"/>
                <w:sz w:val="21"/>
                <w:szCs w:val="21"/>
                <w:highlight w:val="none"/>
                <w:lang w:val="en-US" w:eastAsia="zh-CN"/>
              </w:rPr>
              <w:t>删除</w:t>
            </w:r>
            <w:r>
              <w:rPr>
                <w:rFonts w:hint="eastAsia" w:ascii="宋体" w:hAnsi="宋体" w:eastAsia="宋体" w:cs="宋体"/>
                <w:color w:val="auto"/>
                <w:kern w:val="0"/>
                <w:sz w:val="21"/>
                <w:szCs w:val="21"/>
                <w:highlight w:val="none"/>
                <w:lang w:val="en-US" w:eastAsia="zh-CN"/>
              </w:rPr>
              <w:t>商业金融服务设施。</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default" w:ascii="宋体" w:hAnsi="宋体" w:eastAsia="宋体" w:cs="宋体"/>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w:t>
            </w:r>
            <w:r>
              <w:rPr>
                <w:rFonts w:hint="eastAsia" w:ascii="宋体" w:hAnsi="宋体" w:cs="宋体"/>
                <w:b w:val="0"/>
                <w:bCs w:val="0"/>
                <w:color w:val="auto"/>
                <w:sz w:val="21"/>
                <w:szCs w:val="21"/>
                <w:highlight w:val="none"/>
                <w:lang w:val="en-US" w:eastAsia="zh-CN"/>
              </w:rPr>
              <w:t>。</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lang w:val="en-US" w:eastAsia="zh-CN"/>
              </w:rPr>
              <w:t>根据《国土空间调查、规划、用途管制用地用海分类指南》，商业金融服务设施不属于公共服务设施，因此删除商业金融服务设施。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2.1.3按照公共服务设施基本服务属性、市场特性的不同，可将其分为公益性公共服务设施和经营性公共服务设施。为确保社会公平和服务质量，公共服务设施的配置可保持一定弹性和灵活度，以适应市场化、城市化发展的需要。</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lang w:val="en-US" w:eastAsia="zh-CN" w:bidi="ar-SA"/>
              </w:rPr>
              <w:t>1.</w:t>
            </w:r>
            <w:r>
              <w:rPr>
                <w:rFonts w:hint="eastAsia" w:ascii="宋体" w:hAnsi="宋体" w:eastAsia="宋体" w:cs="宋体"/>
                <w:b w:val="0"/>
                <w:bCs w:val="0"/>
                <w:color w:val="auto"/>
                <w:sz w:val="21"/>
                <w:szCs w:val="21"/>
                <w:highlight w:val="none"/>
                <w:lang w:val="en-US" w:eastAsia="zh-CN"/>
              </w:rPr>
              <w:t>现指引中无商业金融服务设施，不再区分</w:t>
            </w:r>
            <w:r>
              <w:rPr>
                <w:rFonts w:hint="eastAsia" w:ascii="宋体" w:hAnsi="宋体" w:eastAsia="宋体" w:cs="宋体"/>
                <w:b w:val="0"/>
                <w:bCs w:val="0"/>
                <w:sz w:val="21"/>
                <w:szCs w:val="21"/>
                <w:highlight w:val="none"/>
                <w:lang w:val="en-US" w:eastAsia="zh-CN"/>
              </w:rPr>
              <w:t>公益性公共服务设施和经营性公共服务设施。</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2.关于适应城市</w:t>
            </w:r>
            <w:r>
              <w:rPr>
                <w:rFonts w:hint="eastAsia" w:ascii="宋体" w:hAnsi="宋体" w:eastAsia="宋体" w:cs="宋体"/>
                <w:b w:val="0"/>
                <w:bCs w:val="0"/>
                <w:color w:val="auto"/>
                <w:sz w:val="21"/>
                <w:szCs w:val="21"/>
                <w:highlight w:val="none"/>
                <w:lang w:val="en-US" w:eastAsia="zh-CN"/>
              </w:rPr>
              <w:t>化发展的要求已在3.1.3中明确，因此删除此条。</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《社区生活圈规划技术指南》（TDT1062-2021）将设施分为七大类；根据</w:t>
            </w:r>
            <w:r>
              <w:rPr>
                <w:rFonts w:hint="eastAsia" w:ascii="宋体" w:hAnsi="宋体" w:eastAsia="宋体" w:cs="宋体"/>
                <w:color w:val="auto"/>
                <w:kern w:val="0"/>
                <w:sz w:val="21"/>
                <w:szCs w:val="21"/>
                <w:highlight w:val="none"/>
                <w:lang w:val="en-US" w:eastAsia="zh-CN"/>
              </w:rPr>
              <w:t>《国土空间调查、规划、用途管制用地用海分类指南》，商业金融服务设施不属于公共服务设施</w:t>
            </w:r>
            <w:r>
              <w:rPr>
                <w:rFonts w:hint="eastAsia" w:ascii="宋体" w:hAnsi="宋体" w:eastAsia="宋体" w:cs="宋体"/>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2.1.4公共服务设施的配置首先应符合城区居民分布的基本特点，并综合考虑行政区划的要求或影响，统筹兼顾、合理布局。公共服务设施的配置在不产生相互干扰的情况下，应结合城市交通，尽量集中配置，以方便居民生活、充分发挥综合效益。</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sz w:val="21"/>
                <w:szCs w:val="21"/>
                <w:highlight w:val="none"/>
                <w:lang w:val="en-US" w:eastAsia="zh-CN"/>
              </w:rPr>
              <w:t>将公共服务设施配置和选址相关内容细化至城镇社区和乡村社区的公共服务设施选址要求中。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2.1.5新建公共服务设施的选址应满足以下要求：应选择市政设施条件较好、交通便利的地段；应选择位置适中、方便居民出入、便于服务辖区居民的地段；宜靠近广场、公园、绿地等公共活动空间。公共服务设施与其他建筑合建时，宜设置在建筑物低层部分，并有独立出入口。用地紧张的社区，可在同一辖区内，分开建设房屋建筑和场地。城市社区服务站用房和有关设施应根据使用功能要求合理布局，做到流线清晰、服务方便。</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sz w:val="21"/>
                <w:szCs w:val="21"/>
                <w:highlight w:val="none"/>
                <w:lang w:val="en-US" w:eastAsia="zh-CN"/>
              </w:rPr>
              <w:t>将公共服务设施配置和选址相关内容细化至城镇社区和乡村社区的公共服务设施选址要求中。</w:t>
            </w:r>
          </w:p>
        </w:tc>
      </w:tr>
      <w:bookmarkEnd w:id="95"/>
      <w:bookmarkEnd w:id="9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 xml:space="preserve">3.1.3 </w:t>
            </w:r>
            <w:r>
              <w:rPr>
                <w:rFonts w:hint="eastAsia" w:ascii="宋体" w:hAnsi="宋体" w:eastAsia="宋体" w:cs="宋体"/>
                <w:b w:val="0"/>
                <w:bCs w:val="0"/>
                <w:color w:val="auto"/>
                <w:sz w:val="21"/>
                <w:szCs w:val="21"/>
                <w:highlight w:val="none"/>
                <w:lang w:val="en-US" w:eastAsia="zh-CN"/>
              </w:rPr>
              <w:t>公共服务设施的配置水平，应与城市化发展、居住人口规模相适应。</w:t>
            </w:r>
            <w:r>
              <w:rPr>
                <w:rFonts w:hint="eastAsia" w:ascii="宋体" w:hAnsi="宋体" w:eastAsia="宋体" w:cs="宋体"/>
                <w:b w:val="0"/>
                <w:bCs w:val="0"/>
                <w:color w:val="FF0000"/>
                <w:sz w:val="21"/>
                <w:szCs w:val="21"/>
                <w:highlight w:val="none"/>
                <w:lang w:val="en-US" w:eastAsia="zh-CN"/>
              </w:rPr>
              <w:t>各级公共服务设施的配建为非包含关系，上一级公共服务设施不能覆盖下一级配建的公共服务设施。</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2.2.1居住区、居住小区、居住组团公共服务设施的配置水平，应与城市化发展、居住人口规模相适应。居住区级公共服务设施的配置，应结合专项规划，统筹考虑街区（街坊）用地的主导属性和功能，并能适应街区发展需求。旧区改造中居住区各级、各类公共服务设施的配置应参照本标准执行，确实难以实现时，可差别配置，但不得低于本标准的70%。当居住人口规模介于居住区、居住小区之间时，应按居住小区级标准配置所有公共服务设施项目，并应根据需要选配居住区级标准的部分公共服务设施项目。</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0"/>
                <w:sz w:val="21"/>
                <w:szCs w:val="21"/>
                <w:lang w:val="en-US" w:eastAsia="zh-CN" w:bidi="ar-SA"/>
              </w:rPr>
              <w:t>1.</w:t>
            </w:r>
            <w:r>
              <w:rPr>
                <w:rFonts w:hint="eastAsia" w:ascii="宋体" w:hAnsi="宋体" w:eastAsia="宋体" w:cs="宋体"/>
                <w:b w:val="0"/>
                <w:bCs w:val="0"/>
                <w:kern w:val="0"/>
                <w:sz w:val="21"/>
                <w:szCs w:val="21"/>
                <w:highlight w:val="none"/>
                <w:lang w:val="en-US" w:eastAsia="zh-CN" w:bidi="ar-SA"/>
              </w:rPr>
              <w:t>删除</w:t>
            </w:r>
            <w:r>
              <w:rPr>
                <w:rFonts w:hint="eastAsia" w:ascii="宋体" w:hAnsi="宋体" w:eastAsia="宋体" w:cs="宋体"/>
                <w:b w:val="0"/>
                <w:bCs w:val="0"/>
                <w:color w:val="auto"/>
                <w:sz w:val="21"/>
                <w:szCs w:val="21"/>
                <w:highlight w:val="none"/>
                <w:lang w:val="en-US" w:eastAsia="zh-CN"/>
              </w:rPr>
              <w:t>“居住区、居住小区、居住组团”的表述。</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《社区生活圈规划技术指南》（TDT1062-2021）、《城市居住区规划设计标准》（GB50180-2018）中均已无“居住区、居住小区、居住组团”的表述，结合最新提法，删除相关表述。</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2.</w:t>
            </w:r>
            <w:r>
              <w:rPr>
                <w:rFonts w:hint="eastAsia" w:ascii="宋体" w:hAnsi="宋体" w:eastAsia="宋体" w:cs="宋体"/>
                <w:b w:val="0"/>
                <w:bCs w:val="0"/>
                <w:color w:val="auto"/>
                <w:sz w:val="21"/>
                <w:szCs w:val="21"/>
                <w:highlight w:val="none"/>
                <w:lang w:val="en-US" w:eastAsia="zh-CN"/>
              </w:rPr>
              <w:t>删除“居住区级公共服务设施的配置，应结合专项规划，统筹考虑街区（街坊）用地的主导属性和功能，并能适应街区发展需求”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本指引按照社区生活圈提出公共服务设施配置要求，社区生活圈无主导功能概念，因此删除。</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3.</w:t>
            </w:r>
            <w:r>
              <w:rPr>
                <w:rFonts w:hint="eastAsia" w:ascii="宋体" w:hAnsi="宋体" w:eastAsia="宋体" w:cs="宋体"/>
                <w:b w:val="0"/>
                <w:bCs w:val="0"/>
                <w:color w:val="auto"/>
                <w:sz w:val="21"/>
                <w:szCs w:val="21"/>
                <w:highlight w:val="none"/>
                <w:lang w:val="en-US" w:eastAsia="zh-CN"/>
              </w:rPr>
              <w:t>旧区改造相关内容统一纳入1.5中表述。</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4.</w:t>
            </w:r>
            <w:r>
              <w:rPr>
                <w:rFonts w:hint="eastAsia" w:ascii="宋体" w:hAnsi="宋体" w:eastAsia="宋体" w:cs="宋体"/>
                <w:color w:val="auto"/>
                <w:sz w:val="21"/>
                <w:szCs w:val="21"/>
                <w:highlight w:val="none"/>
              </w:rPr>
              <w:t>删除居住人口规模介于居住区、居住小区的相关表述</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w:t>
            </w:r>
            <w:r>
              <w:rPr>
                <w:rFonts w:hint="eastAsia" w:ascii="宋体" w:hAnsi="宋体" w:eastAsia="宋体" w:cs="宋体"/>
                <w:color w:val="auto"/>
                <w:sz w:val="21"/>
                <w:szCs w:val="21"/>
                <w:highlight w:val="none"/>
              </w:rPr>
              <w:t>本次指引修订，按照“社区生活圈”提出公共服务设施配置标准，覆盖所有常住人口居住区域，不</w:t>
            </w:r>
            <w:r>
              <w:rPr>
                <w:rFonts w:hint="eastAsia" w:ascii="宋体" w:hAnsi="宋体" w:eastAsia="宋体" w:cs="宋体"/>
                <w:color w:val="auto"/>
                <w:sz w:val="21"/>
                <w:szCs w:val="21"/>
                <w:highlight w:val="none"/>
                <w:lang w:val="en-US" w:eastAsia="zh-CN"/>
              </w:rPr>
              <w:t>再</w:t>
            </w:r>
            <w:r>
              <w:rPr>
                <w:rFonts w:hint="eastAsia" w:ascii="宋体" w:hAnsi="宋体" w:eastAsia="宋体" w:cs="宋体"/>
                <w:color w:val="auto"/>
                <w:sz w:val="21"/>
                <w:szCs w:val="21"/>
                <w:highlight w:val="none"/>
              </w:rPr>
              <w:t>区分居住区、居住小区</w:t>
            </w:r>
            <w:r>
              <w:rPr>
                <w:rFonts w:hint="eastAsia" w:ascii="宋体" w:hAnsi="宋体" w:eastAsia="宋体" w:cs="宋体"/>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97" w:name="_Toc4819"/>
            <w:bookmarkStart w:id="98" w:name="_Toc9612"/>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2.2.2 各级、各类公共服务设施的空间布局，应结合主要生活性道路，以及交通枢纽站或公交首末站，尽可能配置在区位适中、交通便捷、人流量较大的地方。</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本次修订已将将公共服务设施配置和选址相关内容细化至城镇社区和乡村社区的公共服务设施选址要求中。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val="0"/>
                <w:bCs w:val="0"/>
                <w:color w:val="FF0000"/>
                <w:sz w:val="21"/>
                <w:szCs w:val="21"/>
                <w:highlight w:val="none"/>
                <w:lang w:val="en-US" w:eastAsia="zh-CN"/>
              </w:rPr>
              <w:t>3.2 配置标准</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2.2 配置标准</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 配置标准</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p>
        </w:tc>
      </w:tr>
      <w:bookmarkEnd w:id="97"/>
      <w:bookmarkEnd w:id="9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3.2.1行政管理服务设施：15分钟生活圈行政管理服务设施包括社区服务中心、街道办事处、司法所和派出所。5～10分钟生活圈行政管理服务设施包括社区服务站。具体配建要求应符合表3.2的规定。</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default"/>
                <w:sz w:val="21"/>
                <w:szCs w:val="21"/>
              </w:rPr>
              <w:drawing>
                <wp:inline distT="0" distB="0" distL="114300" distR="114300">
                  <wp:extent cx="3745230" cy="3007360"/>
                  <wp:effectExtent l="0" t="0" r="7620" b="2540"/>
                  <wp:docPr id="56"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true"/>
                          </pic:cNvPicPr>
                        </pic:nvPicPr>
                        <pic:blipFill>
                          <a:blip r:embed="rId10"/>
                          <a:stretch>
                            <a:fillRect/>
                          </a:stretch>
                        </pic:blipFill>
                        <pic:spPr>
                          <a:xfrm>
                            <a:off x="0" y="0"/>
                            <a:ext cx="3745230" cy="300736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原指引的文字部分没有明确选址要求，在“表2-1 公共服务设施配置标准表”中明确了城市社区街道办事处、社区服务中心的配置要求。“表3-1 小城镇社区基本公共服务设施配建标准”中明确了小城镇社区镇街行政管理中心、社区公共服务中心、派出所配置要求。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b w:val="0"/>
                <w:bCs w:val="0"/>
                <w:kern w:val="0"/>
                <w:sz w:val="21"/>
                <w:szCs w:val="21"/>
                <w:lang w:val="en-US" w:eastAsia="zh-CN" w:bidi="ar-SA"/>
              </w:rPr>
              <w:t>1.</w:t>
            </w:r>
            <w:r>
              <w:rPr>
                <w:rFonts w:hint="eastAsia" w:ascii="宋体" w:hAnsi="宋体" w:eastAsia="宋体" w:cs="宋体"/>
                <w:color w:val="auto"/>
                <w:kern w:val="0"/>
                <w:sz w:val="21"/>
                <w:szCs w:val="21"/>
                <w:highlight w:val="none"/>
                <w:lang w:val="en-US" w:eastAsia="zh-CN"/>
              </w:rPr>
              <w:t>将“行政管理与社区服务设施”修改为“行政管理服务设施”</w:t>
            </w:r>
            <w:r>
              <w:rPr>
                <w:rFonts w:hint="eastAsia" w:ascii="宋体" w:hAnsi="宋体" w:cs="宋体"/>
                <w:color w:val="auto"/>
                <w:kern w:val="0"/>
                <w:sz w:val="21"/>
                <w:szCs w:val="21"/>
                <w:highlight w:val="none"/>
                <w:lang w:val="en-US" w:eastAsia="zh-CN"/>
              </w:rPr>
              <w:t>。</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kern w:val="0"/>
                <w:sz w:val="21"/>
                <w:szCs w:val="21"/>
                <w:lang w:val="en-US" w:eastAsia="zh-CN" w:bidi="ar-SA"/>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《社区生活圈规划技术指南》（TDT1062-2021）表A.1中将街道办事处、司法所、派出所归类为行政管理。</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2.在项目类型中新增了司法所。删除了社区居委会</w:t>
            </w:r>
            <w:r>
              <w:rPr>
                <w:rFonts w:hint="eastAsia" w:ascii="宋体" w:hAnsi="宋体" w:cs="宋体"/>
                <w:color w:val="auto"/>
                <w:kern w:val="0"/>
                <w:sz w:val="21"/>
                <w:szCs w:val="21"/>
                <w:highlight w:val="none"/>
                <w:lang w:val="en-US" w:eastAsia="zh-CN"/>
              </w:rPr>
              <w:t>，理由：</w:t>
            </w:r>
            <w:r>
              <w:rPr>
                <w:rFonts w:hint="eastAsia" w:ascii="宋体" w:hAnsi="宋体" w:eastAsia="宋体" w:cs="宋体"/>
                <w:b w:val="0"/>
                <w:bCs w:val="0"/>
                <w:color w:val="auto"/>
                <w:sz w:val="21"/>
                <w:szCs w:val="21"/>
                <w:highlight w:val="none"/>
                <w:lang w:val="en-US" w:eastAsia="zh-CN"/>
              </w:rPr>
              <w:t>根据《中华人民共和国城市居民委员会组织法》，</w:t>
            </w:r>
            <w:r>
              <w:rPr>
                <w:rFonts w:hint="eastAsia" w:ascii="宋体" w:hAnsi="宋体" w:eastAsia="宋体" w:cs="宋体"/>
                <w:color w:val="auto"/>
                <w:kern w:val="0"/>
                <w:sz w:val="21"/>
                <w:szCs w:val="21"/>
                <w:highlight w:val="none"/>
                <w:lang w:val="en-US" w:eastAsia="zh-CN"/>
              </w:rPr>
              <w:t>社区居委会属于基层群众性自治组织，</w:t>
            </w:r>
            <w:r>
              <w:rPr>
                <w:rFonts w:hint="eastAsia" w:ascii="宋体" w:hAnsi="宋体" w:eastAsia="宋体" w:cs="宋体"/>
                <w:b w:val="0"/>
                <w:bCs w:val="0"/>
                <w:color w:val="auto"/>
                <w:sz w:val="21"/>
                <w:szCs w:val="21"/>
                <w:highlight w:val="none"/>
                <w:lang w:val="en-US" w:eastAsia="zh-CN"/>
              </w:rPr>
              <w:t>结合实际，社区居委会的办公场地通常设在‌社区服务中心</w:t>
            </w:r>
            <w:r>
              <w:rPr>
                <w:rFonts w:hint="eastAsia" w:ascii="宋体" w:hAnsi="宋体" w:eastAsia="宋体" w:cs="宋体"/>
                <w:color w:val="auto"/>
                <w:kern w:val="0"/>
                <w:sz w:val="21"/>
                <w:szCs w:val="21"/>
                <w:highlight w:val="none"/>
                <w:lang w:val="en-US" w:eastAsia="zh-CN"/>
              </w:rPr>
              <w:t>。</w:t>
            </w:r>
          </w:p>
          <w:p>
            <w:pPr>
              <w:pStyle w:val="15"/>
              <w:keepNext w:val="0"/>
              <w:keepLines w:val="0"/>
              <w:pageBreakBefore w:val="0"/>
              <w:widowControl/>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《社区生活圈规划技术指南》（TDT1062-2021）表A.1</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lang w:val="en-US" w:eastAsia="zh-CN" w:bidi="ar-SA"/>
              </w:rPr>
              <w:t>3.</w:t>
            </w:r>
            <w:r>
              <w:rPr>
                <w:rFonts w:hint="eastAsia" w:ascii="宋体" w:hAnsi="宋体" w:eastAsia="宋体" w:cs="宋体"/>
                <w:b w:val="0"/>
                <w:bCs w:val="0"/>
                <w:sz w:val="21"/>
                <w:szCs w:val="21"/>
                <w:highlight w:val="none"/>
                <w:lang w:val="en-US" w:eastAsia="zh-CN"/>
              </w:rPr>
              <w:t>细化行政管理服务设施的具体配置要求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《社区生活圈规划技术指南》（TDT1062-2021）表A.1、表A.2</w:t>
            </w:r>
            <w:r>
              <w:rPr>
                <w:rFonts w:hint="eastAsia" w:ascii="宋体" w:hAnsi="宋体" w:cs="宋体"/>
                <w:b w:val="0"/>
                <w:bCs w:val="0"/>
                <w:sz w:val="21"/>
                <w:szCs w:val="21"/>
                <w:highlight w:val="none"/>
                <w:lang w:val="en-US" w:eastAsia="zh-CN"/>
              </w:rPr>
              <w:t>。</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kern w:val="0"/>
                <w:sz w:val="21"/>
                <w:szCs w:val="21"/>
                <w:lang w:val="en-US" w:eastAsia="zh-CN" w:bidi="ar-SA"/>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《城市居住区规划设计标准》（GB 50180-2018）表C.0.1、表C.0.2、表C.0.3。</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kern w:val="0"/>
                <w:sz w:val="21"/>
                <w:szCs w:val="21"/>
                <w:lang w:val="en-US" w:eastAsia="zh-CN" w:bidi="ar-SA"/>
              </w:rPr>
              <w:t>3.</w:t>
            </w:r>
            <w:r>
              <w:rPr>
                <w:rFonts w:hint="eastAsia" w:ascii="宋体" w:hAnsi="宋体" w:eastAsia="宋体" w:cs="宋体"/>
                <w:b w:val="0"/>
                <w:bCs w:val="0"/>
                <w:color w:val="auto"/>
                <w:sz w:val="21"/>
                <w:szCs w:val="21"/>
                <w:highlight w:val="none"/>
                <w:lang w:val="en-US" w:eastAsia="zh-CN"/>
              </w:rPr>
              <w:t>按照国家最新标准，结合我区实际，调整建筑面积和用地面积控制指标。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《社区生活圈规划技术指南》（TDT1062-2021）表A.1、表A.2，</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派出所用地面积</w:t>
            </w:r>
            <w:r>
              <w:rPr>
                <w:rFonts w:hint="eastAsia" w:ascii="宋体" w:hAnsi="宋体" w:cs="宋体"/>
                <w:b w:val="0"/>
                <w:bCs w:val="0"/>
                <w:color w:val="auto"/>
                <w:sz w:val="21"/>
                <w:szCs w:val="21"/>
                <w:highlight w:val="none"/>
                <w:lang w:val="en-US" w:eastAsia="zh-CN"/>
              </w:rPr>
              <w:t>依据</w:t>
            </w:r>
            <w:r>
              <w:rPr>
                <w:rFonts w:hint="eastAsia" w:ascii="宋体" w:hAnsi="宋体" w:eastAsia="宋体" w:cs="宋体"/>
                <w:b w:val="0"/>
                <w:bCs w:val="0"/>
                <w:sz w:val="21"/>
                <w:szCs w:val="21"/>
                <w:highlight w:val="none"/>
                <w:lang w:val="en-US" w:eastAsia="zh-CN"/>
              </w:rPr>
              <w:t>《宁夏回族自治区建设用地控制指标》</w:t>
            </w:r>
            <w:r>
              <w:rPr>
                <w:rFonts w:hint="eastAsia" w:ascii="宋体" w:hAnsi="宋体" w:eastAsia="宋体" w:cs="宋体"/>
                <w:b w:val="0"/>
                <w:bCs w:val="0"/>
                <w:color w:val="auto"/>
                <w:sz w:val="21"/>
                <w:szCs w:val="21"/>
                <w:highlight w:val="none"/>
                <w:lang w:val="en-US" w:eastAsia="zh-CN"/>
              </w:rPr>
              <w:t>（2024年版）</w:t>
            </w:r>
            <w:r>
              <w:rPr>
                <w:rFonts w:hint="eastAsia" w:ascii="宋体" w:hAnsi="宋体" w:eastAsia="宋体" w:cs="宋体"/>
                <w:b w:val="0"/>
                <w:bCs w:val="0"/>
                <w:sz w:val="21"/>
                <w:szCs w:val="21"/>
                <w:highlight w:val="none"/>
                <w:lang w:val="en-US" w:eastAsia="zh-CN"/>
              </w:rPr>
              <w:t>表2.1。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3.2.2 文化设施：15分钟生活圈文化设施包括文化活动中心。5～10分钟生活圈文化设施包括文化活动站。具体配建要求应符合表3.3的规定</w:t>
            </w:r>
            <w:r>
              <w:rPr>
                <w:rFonts w:hint="eastAsia" w:ascii="宋体" w:hAnsi="宋体" w:eastAsia="宋体" w:cs="宋体"/>
                <w:color w:val="FF0000"/>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rPr>
              <w:drawing>
                <wp:inline distT="0" distB="0" distL="114300" distR="114300">
                  <wp:extent cx="3749040" cy="1663065"/>
                  <wp:effectExtent l="0" t="0" r="3810" b="13335"/>
                  <wp:docPr id="3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true"/>
                          </pic:cNvPicPr>
                        </pic:nvPicPr>
                        <pic:blipFill>
                          <a:blip r:embed="rId11"/>
                          <a:stretch>
                            <a:fillRect/>
                          </a:stretch>
                        </pic:blipFill>
                        <pic:spPr>
                          <a:xfrm>
                            <a:off x="0" y="0"/>
                            <a:ext cx="3749040" cy="1663065"/>
                          </a:xfrm>
                          <a:prstGeom prst="rect">
                            <a:avLst/>
                          </a:prstGeom>
                          <a:noFill/>
                          <a:ln>
                            <a:noFill/>
                          </a:ln>
                        </pic:spPr>
                      </pic:pic>
                    </a:graphicData>
                  </a:graphic>
                </wp:inline>
              </w:drawing>
            </w:r>
          </w:p>
        </w:tc>
        <w:tc>
          <w:tcPr>
            <w:tcW w:w="435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原指引的文字部分没有明确选址要求，在“表2-1 公共服务设施配置标准表”中明确了城市社区文化娱乐设施包括文化活动中心和文化活动站的配置要求。“表3-1 小城镇社区基本公共服务设施配建标准”中明确了小城镇社区文化站配置要求。</w:t>
            </w:r>
          </w:p>
        </w:tc>
        <w:tc>
          <w:tcPr>
            <w:tcW w:w="3891" w:type="dxa"/>
            <w:shd w:val="clear" w:color="auto" w:fill="auto"/>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 将设施名称统一修改为文化活动中心、文化活动站。</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《社区生活圈规划技术指南》（TDT1062-2021）表A.1、表A.2</w:t>
            </w:r>
            <w:r>
              <w:rPr>
                <w:rFonts w:hint="eastAsia" w:ascii="宋体" w:hAnsi="宋体" w:cs="宋体"/>
                <w:b w:val="0"/>
                <w:bCs w:val="0"/>
                <w:sz w:val="21"/>
                <w:szCs w:val="21"/>
                <w:highlight w:val="none"/>
                <w:lang w:val="en-US" w:eastAsia="zh-CN"/>
              </w:rPr>
              <w:t>。</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sz w:val="21"/>
                <w:szCs w:val="21"/>
                <w:highlight w:val="none"/>
                <w:lang w:val="en-US" w:eastAsia="zh-CN"/>
              </w:rPr>
              <w:t>《城市居住区规划设计标准》（GB 50180-2018）表C.0.1、表C.0.2。</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kern w:val="0"/>
                <w:sz w:val="21"/>
                <w:szCs w:val="21"/>
                <w:lang w:val="en-US" w:eastAsia="zh-CN" w:bidi="ar-SA"/>
              </w:rPr>
              <w:t>2.</w:t>
            </w:r>
            <w:r>
              <w:rPr>
                <w:rFonts w:hint="eastAsia" w:ascii="宋体" w:hAnsi="宋体" w:eastAsia="宋体" w:cs="宋体"/>
                <w:b w:val="0"/>
                <w:bCs w:val="0"/>
                <w:color w:val="auto"/>
                <w:sz w:val="21"/>
                <w:szCs w:val="21"/>
                <w:highlight w:val="none"/>
                <w:lang w:val="en-US" w:eastAsia="zh-CN"/>
              </w:rPr>
              <w:t>按照国家最新标准，调整建筑面积和用地面积控制指标。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《社区生活圈规划技术指南》（TDT1062-2021）表A.1、表A.2。</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3</w:t>
            </w:r>
            <w:r>
              <w:rPr>
                <w:rFonts w:hint="eastAsia" w:ascii="宋体" w:hAnsi="宋体" w:eastAsia="宋体" w:cs="宋体"/>
                <w:b w:val="0"/>
                <w:bCs w:val="0"/>
                <w:sz w:val="21"/>
                <w:szCs w:val="21"/>
                <w:highlight w:val="none"/>
                <w:lang w:val="en-US" w:eastAsia="zh-CN"/>
              </w:rPr>
              <w:t>.细化文化设施的具体配置要求。</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《社区生活圈规划技术指南》（TDT1062-2021）表A.1、表A.2</w:t>
            </w:r>
            <w:r>
              <w:rPr>
                <w:rFonts w:hint="eastAsia" w:ascii="宋体" w:hAnsi="宋体" w:cs="宋体"/>
                <w:b w:val="0"/>
                <w:bCs w:val="0"/>
                <w:sz w:val="21"/>
                <w:szCs w:val="21"/>
                <w:highlight w:val="none"/>
                <w:lang w:val="en-US" w:eastAsia="zh-CN"/>
              </w:rPr>
              <w:t>.</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sz w:val="21"/>
                <w:szCs w:val="21"/>
                <w:highlight w:val="none"/>
                <w:lang w:val="en-US" w:eastAsia="zh-CN"/>
              </w:rPr>
              <w:t>《城市居住区规划设计标准》（GB 50180-2018）表C.0.1、表C.0.2。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3.2.3 教育设施：15分钟生活圈教育设施包括初中。5～10分钟生活圈教育设施包括小学、幼儿园和托儿所。初中、小学、幼儿园、托儿所规模根据适龄青少年、儿童人口确定，用地规模按照人均用地面积控制。建设完全中学和九年一贯制学校的，其人均用地面积根据各阶段适龄学生的人均面积分别控制。具体配建要求应符合表3.4的规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sz w:val="21"/>
                <w:szCs w:val="21"/>
                <w:highlight w:val="none"/>
                <w:lang w:val="en-US" w:eastAsia="zh-CN"/>
              </w:rPr>
            </w:pPr>
            <w:r>
              <w:rPr>
                <w:rFonts w:hint="default"/>
              </w:rPr>
              <w:drawing>
                <wp:inline distT="0" distB="0" distL="114300" distR="114300">
                  <wp:extent cx="3720465" cy="4447540"/>
                  <wp:effectExtent l="0" t="0" r="13335" b="1016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2"/>
                          <a:stretch>
                            <a:fillRect/>
                          </a:stretch>
                        </pic:blipFill>
                        <pic:spPr>
                          <a:xfrm>
                            <a:off x="0" y="0"/>
                            <a:ext cx="3720465" cy="444754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2.2.5建议幼儿园结合居住区内人口情况进行独立配置。建议中小学教育服务设施结合行政辖区人口分布情况和发展趋势，以及城市交通、环境等综合因素，按合理的服务范围和适宜规模进行均衡配置。在表格中明确占地面积：6班2700平方米，9班3800平方米，12班4700平方米；</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规划中小学校、幼儿园布点</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（一）每一万居住人口区域内设立十二个班级规模的幼儿园一所；</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（二）每一万居住人口区域内设立二十四个班级规模的小学一所；</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每二万居住人口区域内设立三十六个班级规模的中学一所。规划中小学校、幼儿园建设用地时，应当适当预留发展余地。寄宿制学校以及因用地形状不规则而无法满足总平面布局要求的学校，应当适当增加用地面积。</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3.2.3应当按照下列原则规划中小学校、幼儿园班级数并按照表3-1配置用地及建筑面积：</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（一）幼儿园按36生/千人、30人/班配建；</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（二）小学按70生/千人、45人/班配建；</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（三）初中按36生/千人、50人/班配建。</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规划中小学校、幼儿园建设用地时，应当适当预留发展余地。寄宿制学校以及因用地形状不规则而无法满足总平面布局要求的学校，应当适当增加用地面积。</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1.在5～10分钟生活圈教育设施分类中增加了托儿所。</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《社区生活圈规划技术指南》（TDT1062-2021）明确，5～10分钟生活圈基础保障型服务要素中教育设施包括小学和幼儿园；品质提升型服务要素中教育设施包括托儿所。</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 将“生均用地面积”作为用地规模控制指标。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《宁夏回族自治区建设用地控制指标》表</w:t>
            </w:r>
            <w:r>
              <w:rPr>
                <w:rFonts w:hint="eastAsia" w:ascii="宋体" w:hAnsi="宋体" w:cs="宋体"/>
                <w:b w:val="0"/>
                <w:bCs w:val="0"/>
                <w:color w:val="auto"/>
                <w:sz w:val="21"/>
                <w:szCs w:val="21"/>
                <w:highlight w:val="none"/>
                <w:lang w:val="en-US" w:eastAsia="zh-CN"/>
              </w:rPr>
              <w:t>1.1和表</w:t>
            </w:r>
            <w:r>
              <w:rPr>
                <w:rFonts w:hint="eastAsia" w:ascii="宋体" w:hAnsi="宋体" w:eastAsia="宋体" w:cs="宋体"/>
                <w:b w:val="0"/>
                <w:bCs w:val="0"/>
                <w:color w:val="auto"/>
                <w:sz w:val="21"/>
                <w:szCs w:val="21"/>
                <w:highlight w:val="none"/>
                <w:lang w:val="en-US" w:eastAsia="zh-CN"/>
              </w:rPr>
              <w:t>2.1</w:t>
            </w:r>
            <w:r>
              <w:rPr>
                <w:rFonts w:hint="eastAsia" w:ascii="宋体" w:hAnsi="宋体" w:cs="宋体"/>
                <w:b w:val="0"/>
                <w:bCs w:val="0"/>
                <w:color w:val="auto"/>
                <w:sz w:val="21"/>
                <w:szCs w:val="21"/>
                <w:highlight w:val="none"/>
                <w:lang w:val="en-US" w:eastAsia="zh-CN"/>
              </w:rPr>
              <w:t>。</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 删除原指引中有关班额的规定。理由：班额设置宜根据现状人口情况确定，本指引只控制生均用地面积，不对班额进行要求。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 细化教育设施的具体配置要求。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《社区生活圈规划技术指南（TDT1062-2021）》表A.1、表A.2；</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《城市居住区规划设计标准（GB 50180-2018）》表C.0.1、表C.0.2。</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5.明确了寄宿制中小学校用地规模。</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yellow"/>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《宁夏回族自治区建设用地控制指标》表2.1注释</w:t>
            </w:r>
            <w:r>
              <w:rPr>
                <w:rFonts w:hint="eastAsia" w:ascii="宋体" w:hAnsi="宋体" w:cs="宋体"/>
                <w:b w:val="0"/>
                <w:bCs w:val="0"/>
                <w:color w:val="auto"/>
                <w:sz w:val="21"/>
                <w:szCs w:val="21"/>
                <w:highlight w:val="none"/>
                <w:lang w:val="en-US" w:eastAsia="zh-CN"/>
              </w:rPr>
              <w:t>：新建寄宿制中小学按照每生增加用地面积12平方米。</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99" w:name="_Toc21945"/>
            <w:bookmarkStart w:id="100" w:name="_Toc11511"/>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2.2.6 公共服务设施的配套停车场（库）配置要求和标准按照《自治区建设项目配建停车场（库）标准》执行。居住区居民小汽车停车场（库）按照表 2-3的标准配置。自行车的停车场（库）根据实际需要，结合公共服务设施、居民楼等配置。根据住宅建筑面积分为三类：独立住宅、一类住宅（户建筑面积大于等于100平方米的非独立式住宅）和二类住宅（户建筑面积小于100平方米的非独立式住宅，以及户面积小于 100平方米的公寓式住宅）。</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停车场（库）的配置在《宁夏回族自治区建设项目停车场（库）配建标准》中明确，本指引不作规定。</w:t>
            </w:r>
          </w:p>
        </w:tc>
      </w:tr>
      <w:bookmarkEnd w:id="99"/>
      <w:bookmarkEnd w:id="1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3.2.4 体育设施：15分钟生活圈体育设施包括体育场（馆）或全民健身中心、大型多功能运动场地。5～10分钟生活圈体育设施包括中型多功能运动场地或小型多功能运动（球类）场地、室外综合健身场地。具体配建要求应符合表3.5的规定</w:t>
            </w:r>
            <w:r>
              <w:rPr>
                <w:rFonts w:hint="eastAsia" w:ascii="宋体" w:hAnsi="宋体" w:eastAsia="宋体" w:cs="宋体"/>
                <w:color w:val="FF0000"/>
                <w:sz w:val="21"/>
                <w:szCs w:val="21"/>
                <w:highlight w:val="none"/>
              </w:rPr>
              <w:t>。</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3746500" cy="3943350"/>
                  <wp:effectExtent l="0" t="0" r="6350" b="0"/>
                  <wp:docPr id="41"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true"/>
                          </pic:cNvPicPr>
                        </pic:nvPicPr>
                        <pic:blipFill>
                          <a:blip r:embed="rId13"/>
                          <a:stretch>
                            <a:fillRect/>
                          </a:stretch>
                        </pic:blipFill>
                        <pic:spPr>
                          <a:xfrm>
                            <a:off x="0" y="0"/>
                            <a:ext cx="3746500" cy="394335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原指引的文字部分没有明确选址要求，在“表2-1 公共服务设施配置标准表”中明确了城市社区体育活动中心、社区体育中心和居民健身场地的配置要求。“表3-1 小城镇社区基本公共服务设施配建标准”中明确了小城镇社区体育健身设施的配置要求。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1.将体育健身设施修改为体育设施</w:t>
            </w:r>
            <w:r>
              <w:rPr>
                <w:rFonts w:hint="eastAsia" w:ascii="宋体" w:hAnsi="宋体" w:cs="宋体"/>
                <w:color w:val="auto"/>
                <w:kern w:val="0"/>
                <w:sz w:val="21"/>
                <w:szCs w:val="21"/>
                <w:highlight w:val="none"/>
                <w:lang w:val="en-US" w:eastAsia="zh-CN"/>
              </w:rPr>
              <w:t>。</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color w:val="auto"/>
                <w:kern w:val="0"/>
                <w:sz w:val="21"/>
                <w:szCs w:val="21"/>
                <w:highlight w:val="none"/>
                <w:lang w:val="en-US" w:eastAsia="zh-CN"/>
              </w:rPr>
              <w:t>《国土空间调查、规划、用途管制用地用海分类指南》</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体育用地</w:t>
            </w:r>
            <w:r>
              <w:rPr>
                <w:rFonts w:hint="eastAsia" w:ascii="宋体" w:hAnsi="宋体" w:cs="宋体"/>
                <w:color w:val="auto"/>
                <w:kern w:val="0"/>
                <w:sz w:val="21"/>
                <w:szCs w:val="21"/>
                <w:highlight w:val="none"/>
                <w:lang w:val="en-US" w:eastAsia="zh-CN"/>
              </w:rPr>
              <w:t>。</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2.细化体育设施分类</w:t>
            </w:r>
            <w:r>
              <w:rPr>
                <w:rFonts w:hint="eastAsia" w:ascii="宋体" w:hAnsi="宋体" w:cs="宋体"/>
                <w:color w:val="auto"/>
                <w:kern w:val="0"/>
                <w:sz w:val="21"/>
                <w:szCs w:val="21"/>
                <w:highlight w:val="none"/>
                <w:lang w:val="en-US" w:eastAsia="zh-CN"/>
              </w:rPr>
              <w:t>和</w:t>
            </w:r>
            <w:r>
              <w:rPr>
                <w:rFonts w:hint="eastAsia" w:ascii="宋体" w:hAnsi="宋体" w:eastAsia="宋体" w:cs="宋体"/>
                <w:b w:val="0"/>
                <w:bCs w:val="0"/>
                <w:color w:val="auto"/>
                <w:sz w:val="21"/>
                <w:szCs w:val="21"/>
                <w:highlight w:val="none"/>
                <w:lang w:val="en-US" w:eastAsia="zh-CN"/>
              </w:rPr>
              <w:t>具体配置要求</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将原指引中的体育活动中心、社区体育中心、居民健身场地细化为</w:t>
            </w:r>
            <w:r>
              <w:rPr>
                <w:rFonts w:hint="eastAsia" w:ascii="宋体" w:hAnsi="宋体" w:eastAsia="宋体" w:cs="宋体"/>
                <w:color w:val="auto"/>
                <w:sz w:val="21"/>
                <w:szCs w:val="21"/>
                <w:highlight w:val="none"/>
              </w:rPr>
              <w:t>体育场（馆）或全民健身中心、大型多功能运动场地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中型多功能运动场地或小型多功能运动（球类）场地、室外综合健身场地</w:t>
            </w:r>
            <w:r>
              <w:rPr>
                <w:rFonts w:hint="eastAsia" w:ascii="宋体" w:hAnsi="宋体" w:cs="宋体"/>
                <w:color w:val="auto"/>
                <w:sz w:val="21"/>
                <w:szCs w:val="21"/>
                <w:highlight w:val="none"/>
                <w:lang w:eastAsia="zh-CN"/>
              </w:rPr>
              <w:t>。</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《社区生活圈规划技术指南（TDT1062-2021）》表A.1、表A.2；</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《城市居住区规划设计标准（GB 50180-2018）》表C.0.1、表C.0.2。</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 按照国家最新标准，调整建筑面积和用地面积控制指标。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《社区生活圈规划技术指南（TDT1062-2021）》表A.1、表A.2。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3.2.5医疗卫生设施：15分钟生活圈医疗卫生设施包括社区卫生服务中心（社区医院）。5～10分钟生活圈医疗卫生设施包括社区卫生服务站。具体配建要求应符合表3.6的规定。</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3749040" cy="1976755"/>
                  <wp:effectExtent l="0" t="0" r="3810" b="4445"/>
                  <wp:docPr id="4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true"/>
                          </pic:cNvPicPr>
                        </pic:nvPicPr>
                        <pic:blipFill>
                          <a:blip r:embed="rId14"/>
                          <a:stretch>
                            <a:fillRect/>
                          </a:stretch>
                        </pic:blipFill>
                        <pic:spPr>
                          <a:xfrm>
                            <a:off x="0" y="0"/>
                            <a:ext cx="3749040" cy="1976755"/>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原指引的文字部分没有明确选址要求，在“表2-1 公共服务设施配置标准表”中明确了城市社区社区卫生服务中心、社区卫生服务站的配置要求。“表3-1 小城镇社区基本公共服务设施配建标准”中明确了小城镇社区卫生院的配置要求。</w:t>
            </w:r>
          </w:p>
        </w:tc>
        <w:tc>
          <w:tcPr>
            <w:tcW w:w="3891" w:type="dxa"/>
            <w:noWrap w:val="0"/>
            <w:vAlign w:val="center"/>
          </w:tcPr>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按照国家最新标准，结合我区实际，调整建筑面积和用地面积控制指标。</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《社区生活圈规划技术指南（TDT1062-2021）》表A.1、表A.2。</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社区卫生服务中心用地面积参照</w:t>
            </w:r>
            <w:r>
              <w:rPr>
                <w:rFonts w:hint="eastAsia" w:ascii="宋体" w:hAnsi="宋体" w:eastAsia="宋体" w:cs="宋体"/>
                <w:b w:val="0"/>
                <w:bCs w:val="0"/>
                <w:color w:val="auto"/>
                <w:kern w:val="0"/>
                <w:sz w:val="21"/>
                <w:szCs w:val="21"/>
                <w:highlight w:val="none"/>
                <w:lang w:val="en-US" w:eastAsia="zh-CN" w:bidi="ar-SA"/>
              </w:rPr>
              <w:t>《宁夏回族自治区建设用地控制指标》</w:t>
            </w:r>
            <w:r>
              <w:rPr>
                <w:rFonts w:hint="eastAsia" w:ascii="宋体" w:hAnsi="宋体" w:eastAsia="宋体" w:cs="宋体"/>
                <w:b w:val="0"/>
                <w:bCs w:val="0"/>
                <w:color w:val="auto"/>
                <w:sz w:val="21"/>
                <w:szCs w:val="21"/>
                <w:highlight w:val="none"/>
                <w:lang w:val="en-US" w:eastAsia="zh-CN"/>
              </w:rPr>
              <w:t>（2024年版）</w:t>
            </w:r>
            <w:r>
              <w:rPr>
                <w:rFonts w:hint="eastAsia" w:ascii="宋体" w:hAnsi="宋体" w:eastAsia="宋体" w:cs="宋体"/>
                <w:b w:val="0"/>
                <w:bCs w:val="0"/>
                <w:color w:val="auto"/>
                <w:kern w:val="0"/>
                <w:sz w:val="21"/>
                <w:szCs w:val="21"/>
                <w:highlight w:val="none"/>
                <w:lang w:val="en-US" w:eastAsia="zh-CN" w:bidi="ar-SA"/>
              </w:rPr>
              <w:t>表2.1。</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细化医疗卫生设施的具体配置要求。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《社区生活圈规划技术指南（TDT1062-2021）》表A.1、表A.2；</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《城市居住区规划设计标准（GB 50180-2018）》表C.0.1、表C.0.2。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3.2.6社会福利设施：15分钟生活圈社会福利设施包含养老院或老年养护院。5～10分钟生活圈社会福利设施为老年人日间照料中心。具体配建要求应符合表3.7的规定</w:t>
            </w:r>
            <w:r>
              <w:rPr>
                <w:rFonts w:hint="eastAsia" w:ascii="宋体" w:hAnsi="宋体" w:eastAsia="宋体" w:cs="宋体"/>
                <w:color w:val="FF0000"/>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3749675" cy="2063115"/>
                  <wp:effectExtent l="0" t="0" r="3175" b="13335"/>
                  <wp:docPr id="44"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true"/>
                          </pic:cNvPicPr>
                        </pic:nvPicPr>
                        <pic:blipFill>
                          <a:blip r:embed="rId15"/>
                          <a:stretch>
                            <a:fillRect/>
                          </a:stretch>
                        </pic:blipFill>
                        <pic:spPr>
                          <a:xfrm>
                            <a:off x="0" y="0"/>
                            <a:ext cx="3749675" cy="2063115"/>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2.2.4养老院、老年公寓等老年人设施的配置应同时符合《城镇老年人设施规划规范》的相关要求。旧城区老年人设施新建、扩建或改建项目的规模、内容，应满足老年人生活、活动的基本需要。</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3.2.4社会养老床位数达到每千名老年人35～40张。根据床位数分为三类，一类养老院养老床位在120张以上，二类养老院床位在60～120张之间，三类养老院养老床位数在60张以下。卫生院床位数应按国家《乡镇卫生院建设标准》设置。</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lang w:val="en-US" w:eastAsia="zh-CN" w:bidi="ar-SA"/>
              </w:rPr>
              <w:t>1.</w:t>
            </w:r>
            <w:r>
              <w:rPr>
                <w:rFonts w:hint="eastAsia" w:ascii="宋体" w:hAnsi="宋体" w:eastAsia="宋体" w:cs="宋体"/>
                <w:color w:val="auto"/>
                <w:sz w:val="21"/>
                <w:szCs w:val="21"/>
                <w:highlight w:val="none"/>
                <w:lang w:val="en-US" w:eastAsia="zh-CN"/>
              </w:rPr>
              <w:t>将社会福利与保障设施修改为社会福利设施，内容中增加了养老院、老年养护院，原指引中的老年人服务（活动）中心、老年人服务（活动）站、老年人室外活动场地的功能内容合并纳入老年人日间照料中心</w:t>
            </w:r>
            <w:r>
              <w:rPr>
                <w:rFonts w:hint="eastAsia" w:ascii="宋体" w:hAnsi="宋体" w:cs="宋体"/>
                <w:color w:val="auto"/>
                <w:sz w:val="21"/>
                <w:szCs w:val="21"/>
                <w:highlight w:val="none"/>
                <w:lang w:val="en-US" w:eastAsia="zh-CN"/>
              </w:rPr>
              <w:t>，同时</w:t>
            </w:r>
            <w:r>
              <w:rPr>
                <w:rFonts w:hint="eastAsia" w:ascii="宋体" w:hAnsi="宋体" w:eastAsia="宋体" w:cs="宋体"/>
                <w:b w:val="0"/>
                <w:bCs w:val="0"/>
                <w:color w:val="auto"/>
                <w:sz w:val="21"/>
                <w:szCs w:val="21"/>
                <w:highlight w:val="none"/>
                <w:lang w:val="en-US" w:eastAsia="zh-CN"/>
              </w:rPr>
              <w:t>细化医疗卫生设施的具体配置要求。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《城市居住区规划设计标准（GB 50180-2018）》表C.0.1、表C.0.2。</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0"/>
                <w:sz w:val="21"/>
                <w:szCs w:val="21"/>
                <w:lang w:val="en-US" w:eastAsia="zh-CN" w:bidi="ar-SA"/>
              </w:rPr>
              <w:t xml:space="preserve">2. </w:t>
            </w:r>
            <w:r>
              <w:rPr>
                <w:rFonts w:hint="eastAsia" w:ascii="宋体" w:hAnsi="宋体" w:eastAsia="宋体" w:cs="宋体"/>
                <w:b w:val="0"/>
                <w:bCs w:val="0"/>
                <w:color w:val="auto"/>
                <w:sz w:val="21"/>
                <w:szCs w:val="21"/>
                <w:highlight w:val="none"/>
                <w:lang w:val="en-US" w:eastAsia="zh-CN"/>
              </w:rPr>
              <w:t>按照国家最新标准，结合我区实际，调整建筑面积和用地面积控制指标。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《社区生活圈规划技术指南（TDT1062-2021）》表A.1、表A.2</w:t>
            </w:r>
            <w:r>
              <w:rPr>
                <w:rFonts w:hint="eastAsia" w:ascii="宋体" w:hAnsi="宋体" w:cs="宋体"/>
                <w:b w:val="0"/>
                <w:bCs w:val="0"/>
                <w:color w:val="auto"/>
                <w:sz w:val="21"/>
                <w:szCs w:val="21"/>
                <w:highlight w:val="none"/>
                <w:lang w:val="en-US" w:eastAsia="zh-CN"/>
              </w:rPr>
              <w:t>。</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老年人日间照料中心建筑面积</w:t>
            </w:r>
            <w:r>
              <w:rPr>
                <w:rFonts w:hint="eastAsia" w:ascii="宋体" w:hAnsi="宋体" w:cs="宋体"/>
                <w:b w:val="0"/>
                <w:bCs w:val="0"/>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《宁夏回族自治区建设用地控制指标》（2024年版）表1.3</w:t>
            </w:r>
            <w:r>
              <w:rPr>
                <w:rFonts w:hint="eastAsia" w:ascii="宋体" w:hAnsi="宋体" w:cs="宋体"/>
                <w:b w:val="0"/>
                <w:bCs w:val="0"/>
                <w:color w:val="auto"/>
                <w:sz w:val="21"/>
                <w:szCs w:val="21"/>
                <w:highlight w:val="none"/>
                <w:lang w:val="en-US" w:eastAsia="zh-CN"/>
              </w:rPr>
              <w:t>。</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4.删除原指引中关于床位数的相关表述</w:t>
            </w:r>
            <w:r>
              <w:rPr>
                <w:rFonts w:hint="eastAsia" w:ascii="宋体" w:hAnsi="宋体" w:cs="宋体"/>
                <w:b w:val="0"/>
                <w:bCs w:val="0"/>
                <w:color w:val="auto"/>
                <w:kern w:val="0"/>
                <w:sz w:val="21"/>
                <w:szCs w:val="21"/>
                <w:lang w:val="en-US" w:eastAsia="zh-CN" w:bidi="ar-SA"/>
              </w:rPr>
              <w:t>。</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理由：</w:t>
            </w:r>
            <w:r>
              <w:rPr>
                <w:rFonts w:hint="eastAsia" w:ascii="宋体" w:hAnsi="宋体" w:eastAsia="宋体" w:cs="宋体"/>
                <w:b w:val="0"/>
                <w:bCs w:val="0"/>
                <w:color w:val="auto"/>
                <w:sz w:val="21"/>
                <w:szCs w:val="21"/>
                <w:highlight w:val="none"/>
                <w:lang w:val="en-US" w:eastAsia="zh-CN"/>
              </w:rPr>
              <w:t>养老设施的床位数应按照服务人口确定，参照国家相关标准执行，本指引不再对床位数作要求。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3.2.7其他设施：15分钟生活圈的其他设施包括开闭所、移动通信基站、热交换站、垃圾转运站、环卫工人休息处、公交首末站。5～10分钟生活圈的其他设施包括生活垃圾收集站、公共厕所、公交车站。其他设施按照国家、自治区对相关设施的设置标准及专业规划设置进行配置。具体配建要求应符合表3.8的规定。</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3745230" cy="3960495"/>
                  <wp:effectExtent l="0" t="0" r="7620" b="1905"/>
                  <wp:docPr id="4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true"/>
                          </pic:cNvPicPr>
                        </pic:nvPicPr>
                        <pic:blipFill>
                          <a:blip r:embed="rId16"/>
                          <a:stretch>
                            <a:fillRect/>
                          </a:stretch>
                        </pic:blipFill>
                        <pic:spPr>
                          <a:xfrm>
                            <a:off x="0" y="0"/>
                            <a:ext cx="3745230" cy="3960495"/>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2.2.3按照相关标准配置公共厕所，公共厕所宜独立配置或结合其他公共服务设施、城市绿地、广场等配置；与公共服务设施合设的公共厕所应保证向居民开放，方便社会使用。</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“表2-1 公共服务设施配置标准表”中明确了城市社区换热站、垃圾转运站、环卫工人休息场、公共厕所、公交首末站的配置要求。“表3-1 小城镇社区基本公共服务设施配建标准”中明确了公共厕所、公交首末站的配置要求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0"/>
                <w:sz w:val="21"/>
                <w:szCs w:val="21"/>
                <w:lang w:val="en-US" w:eastAsia="zh-CN" w:bidi="ar-SA"/>
              </w:rPr>
              <w:t>1.</w:t>
            </w:r>
            <w:r>
              <w:rPr>
                <w:rFonts w:hint="eastAsia" w:ascii="宋体" w:hAnsi="宋体" w:eastAsia="宋体" w:cs="宋体"/>
                <w:b w:val="0"/>
                <w:bCs w:val="0"/>
                <w:color w:val="auto"/>
                <w:sz w:val="21"/>
                <w:szCs w:val="21"/>
                <w:highlight w:val="none"/>
                <w:lang w:val="en-US" w:eastAsia="zh-CN"/>
              </w:rPr>
              <w:t>将原指引中的“公共厕所、换热站、环卫工人休息场、公共厕所、公交首末站”合并至“其他设施”，增加了开闭所、移动通信基站</w:t>
            </w:r>
            <w:r>
              <w:rPr>
                <w:rFonts w:hint="eastAsia" w:ascii="宋体" w:hAnsi="宋体" w:cs="宋体"/>
                <w:b w:val="0"/>
                <w:bCs w:val="0"/>
                <w:color w:val="auto"/>
                <w:sz w:val="21"/>
                <w:szCs w:val="21"/>
                <w:highlight w:val="none"/>
                <w:lang w:val="en-US" w:eastAsia="zh-CN"/>
              </w:rPr>
              <w:t>，并</w:t>
            </w:r>
            <w:r>
              <w:rPr>
                <w:rFonts w:hint="eastAsia" w:ascii="宋体" w:hAnsi="宋体" w:eastAsia="宋体" w:cs="宋体"/>
                <w:b w:val="0"/>
                <w:bCs w:val="0"/>
                <w:color w:val="auto"/>
                <w:sz w:val="21"/>
                <w:szCs w:val="21"/>
                <w:highlight w:val="none"/>
                <w:lang w:val="en-US" w:eastAsia="zh-CN"/>
              </w:rPr>
              <w:t>细化其他设施的具体配置要求。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《社区生活圈规划技术指南（TDT1062-2021）》表A.1、表A.2。</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《城市居住区规划设计标准（GB 50180-2018）》表C.0.1、表C.0.2。</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0"/>
                <w:sz w:val="21"/>
                <w:szCs w:val="21"/>
                <w:lang w:val="en-US" w:eastAsia="zh-CN" w:bidi="ar-SA"/>
              </w:rPr>
              <w:t>2.</w:t>
            </w:r>
            <w:r>
              <w:rPr>
                <w:rFonts w:hint="eastAsia" w:ascii="宋体" w:hAnsi="宋体" w:eastAsia="宋体" w:cs="宋体"/>
                <w:b w:val="0"/>
                <w:bCs w:val="0"/>
                <w:color w:val="auto"/>
                <w:sz w:val="21"/>
                <w:szCs w:val="21"/>
                <w:highlight w:val="none"/>
                <w:lang w:val="en-US" w:eastAsia="zh-CN"/>
              </w:rPr>
              <w:t>按照国家最新标准，结合我区实际，调整建筑面积和用地面积控制指标。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《社区生活圈规划技术指南（TDT1062-2021）》表A.1、表A.2，</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《宁夏回族自治区建设用地控制指标》（2024年版），其中移动通信基站用地面积依据表3.1</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公交首末站用地面积依据表2.2.2</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生活垃圾收集站用地面积依据表5.1。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sz w:val="21"/>
                <w:szCs w:val="21"/>
                <w:highlight w:val="none"/>
                <w:lang w:val="en-US" w:eastAsia="zh-CN"/>
              </w:rPr>
            </w:pPr>
            <w:bookmarkStart w:id="101" w:name="_Toc10785"/>
            <w:bookmarkStart w:id="102" w:name="_Toc1783"/>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3.1.3 按照产品的公共属性，小城镇社区基本公共服务设施分为两类：一类是公益性基本公共服务设施，包括教育、医疗卫生、文化体育、社会福利与保障、行政管理服务和市政公用等设施，需确保设置；另一类是经营性基本公共服务设施，主要是商业金融服务设施，其建设主要以市场推动为主。</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现指引中无商业金融服务设施，不再区分公益性公共服务设施和经营性公共服务设施，因此删除此条。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3.2.1 小城镇社区基本公共服务设施应根据区县和乡镇总体规划的要求，与地区功能定位、社会经济发展目标和发展需求相适应，原则上要相对集中设置，合理布局。</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将原小城镇社区的基本公共服务设施配置要求，已在城镇社区各类公共服务设施选址布局要求中予以分别明确。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3.2.2 在小城镇交通便利的中心地段或邻近公共交通站点集中设置小城镇社区基本公共服务设施（需独立设置的设施除外），其用地及建筑规模应按照表3-1的规定执行</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原小城镇社区基本公共服务设施选址和配置标准，已在修订后的城镇社区章节中按照不同设施分类明确。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val="0"/>
                <w:bCs w:val="0"/>
                <w:color w:val="FF0000"/>
                <w:sz w:val="21"/>
                <w:szCs w:val="21"/>
                <w:highlight w:val="none"/>
                <w:lang w:val="en-US" w:eastAsia="zh-CN"/>
              </w:rPr>
              <w:t>4.乡村社区</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4.农村社区</w:t>
            </w:r>
          </w:p>
        </w:tc>
        <w:tc>
          <w:tcPr>
            <w:tcW w:w="3891"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根据本指引1.2适用范围，将第四章“农村社区”相应修改为“乡村社区”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val="0"/>
                <w:bCs w:val="0"/>
                <w:color w:val="FF0000"/>
                <w:sz w:val="21"/>
                <w:szCs w:val="21"/>
                <w:highlight w:val="none"/>
                <w:lang w:val="en-US" w:eastAsia="zh-CN"/>
              </w:rPr>
              <w:t>4.1配置要求</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4.1配置要求</w:t>
            </w:r>
          </w:p>
        </w:tc>
        <w:tc>
          <w:tcPr>
            <w:tcW w:w="3891"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sz w:val="21"/>
                <w:szCs w:val="21"/>
              </w:rPr>
            </w:pPr>
            <w:r>
              <w:rPr>
                <w:rFonts w:hint="eastAsia" w:ascii="宋体" w:hAnsi="宋体" w:eastAsia="宋体" w:cs="宋体"/>
                <w:b w:val="0"/>
                <w:bCs w:val="0"/>
                <w:color w:val="FF0000"/>
                <w:sz w:val="21"/>
                <w:szCs w:val="21"/>
                <w:highlight w:val="none"/>
                <w:lang w:val="en-US" w:eastAsia="zh-CN"/>
              </w:rPr>
              <w:t>4.1.1 乡村社区公共服务设施分为乡集镇社区生活圈公共服务设施和村（组）社区生活圈公共服务设施两个层级。</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4.1.1 农村社区基本公共服务设施按照中心村和基层村两档配置。</w:t>
            </w:r>
          </w:p>
        </w:tc>
        <w:tc>
          <w:tcPr>
            <w:tcW w:w="3891" w:type="dxa"/>
            <w:noWrap w:val="0"/>
            <w:vAlign w:val="center"/>
          </w:tcPr>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对配置层级进行了修改，将原“中心村和基层村”修改为“乡集镇和村（组）”。</w:t>
            </w: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《社区生活圈规划技术指南（TDT1062-2021）》提出：乡村社区生活圈的基本公共服务设施按照乡集镇层级和村（组）层级配置。</w:t>
            </w:r>
          </w:p>
        </w:tc>
      </w:tr>
      <w:bookmarkEnd w:id="101"/>
      <w:bookmarkEnd w:id="10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4.1.2 乡集镇层级分为七大类12项，包括行政管理服务设施1项、文化设施1项、教育设施3项、体育设施2项、医疗卫生设施1项、社会福利设施2项、其他设施2项；村（组）层级分为七大类13项，包括行政管理服务设施1项、文化设施2项、教育设施2项、体育设施1项、医疗卫生设施1项、社会福利设施3项、其他设施3项。</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lang w:val="en-US" w:eastAsia="zh-CN"/>
              </w:rPr>
            </w:pPr>
            <w:r>
              <w:rPr>
                <w:rFonts w:hint="default"/>
              </w:rPr>
              <w:drawing>
                <wp:inline distT="0" distB="0" distL="114300" distR="114300">
                  <wp:extent cx="2680970" cy="1471930"/>
                  <wp:effectExtent l="0" t="0" r="5080" b="13970"/>
                  <wp:docPr id="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true"/>
                          </pic:cNvPicPr>
                        </pic:nvPicPr>
                        <pic:blipFill>
                          <a:blip r:embed="rId17"/>
                          <a:srcRect l="13558" t="42991" r="56543" b="27850"/>
                          <a:stretch>
                            <a:fillRect/>
                          </a:stretch>
                        </pic:blipFill>
                        <pic:spPr>
                          <a:xfrm>
                            <a:off x="0" y="0"/>
                            <a:ext cx="2680970" cy="147193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4.1.4按照使用功能，农村社区基本公共服务设施分为七种：（1）行政管理服务设施；（2）教育设施；（3）医疗卫生设施；（4）社会福利与保障设施；（5）文化体育设施；（6）商业金融服务设施；（7）市政公用设施。</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对乡村社区的设施类型进行了调整细化。将“文化体育设施”拆分为“文化设施”和“体育设施”；“社会福利与保障设施”改为“社会福利设施”；将“市政公用设施”合并至“其他设施”；</w:t>
            </w:r>
            <w:r>
              <w:rPr>
                <w:rFonts w:hint="eastAsia" w:ascii="宋体" w:hAnsi="宋体" w:eastAsia="宋体" w:cs="宋体"/>
                <w:color w:val="auto"/>
                <w:kern w:val="0"/>
                <w:sz w:val="21"/>
                <w:szCs w:val="21"/>
                <w:highlight w:val="none"/>
                <w:lang w:val="en-US" w:eastAsia="zh-CN"/>
              </w:rPr>
              <w:t>删除商业金融服务设施。</w:t>
            </w:r>
          </w:p>
          <w:p>
            <w:pPr>
              <w:pStyle w:val="15"/>
              <w:keepNext w:val="0"/>
              <w:keepLines w:val="0"/>
              <w:pageBreakBefore w:val="0"/>
              <w:widowControl/>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《社区生活圈规划技术指南（TDT1062-2021）》</w:t>
            </w:r>
            <w:r>
              <w:rPr>
                <w:rFonts w:hint="eastAsia" w:ascii="宋体" w:hAnsi="宋体" w:cs="宋体"/>
                <w:b w:val="0"/>
                <w:bCs w:val="0"/>
                <w:color w:val="auto"/>
                <w:sz w:val="21"/>
                <w:szCs w:val="21"/>
                <w:highlight w:val="none"/>
                <w:lang w:val="en-US" w:eastAsia="zh-CN"/>
              </w:rPr>
              <w:t>。</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color w:val="auto"/>
                <w:kern w:val="0"/>
                <w:sz w:val="21"/>
                <w:szCs w:val="21"/>
                <w:highlight w:val="none"/>
                <w:lang w:val="en-US" w:eastAsia="zh-CN"/>
              </w:rPr>
              <w:t>《国土空间调查、规划、用途管制用地用海分类指南》，商业金融服务设施不属于公共服务设施。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kern w:val="0"/>
                <w:sz w:val="21"/>
                <w:szCs w:val="21"/>
                <w:lang w:val="en-US" w:eastAsia="zh-CN" w:bidi="ar-SA"/>
              </w:rPr>
            </w:pPr>
            <w:bookmarkStart w:id="103" w:name="_Toc17264"/>
            <w:bookmarkStart w:id="104" w:name="_Toc23148"/>
            <w:r>
              <w:rPr>
                <w:rFonts w:hint="eastAsia" w:ascii="宋体" w:hAnsi="宋体" w:eastAsia="宋体" w:cs="宋体"/>
                <w:b w:val="0"/>
                <w:bCs w:val="0"/>
                <w:color w:val="FF0000"/>
                <w:sz w:val="21"/>
                <w:szCs w:val="21"/>
                <w:highlight w:val="none"/>
                <w:lang w:val="en-US" w:eastAsia="zh-CN"/>
              </w:rPr>
              <w:t>4.1.3 各级公共服务设施的配建为非包含关系，上一级公共服务设施不能覆盖下一级配建的公共服务设施。在服务半径合理、可实现功能共享、满足村民使用需求的情况下，乡集镇层级设施和村（组）层级设施可不再重复配建。</w:t>
            </w:r>
          </w:p>
        </w:tc>
        <w:tc>
          <w:tcPr>
            <w:tcW w:w="435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p>
        </w:tc>
        <w:tc>
          <w:tcPr>
            <w:tcW w:w="3891" w:type="dxa"/>
            <w:shd w:val="clear" w:color="auto" w:fill="auto"/>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【新增条文】</w:t>
            </w:r>
          </w:p>
          <w:p>
            <w:pPr>
              <w:pStyle w:val="15"/>
              <w:keepNext w:val="0"/>
              <w:keepLines w:val="0"/>
              <w:pageBreakBefore w:val="0"/>
              <w:numPr>
                <w:ilvl w:val="0"/>
                <w:numId w:val="0"/>
              </w:numPr>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参照城镇社区3.1.3条，新增明确集镇层级设施和村（组）层级设施配置关系。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4.1.5 按照产品的公共属性，农村社区基本公共服务设施分为两类：一类是公益性基本公共服务设施，包括行政管理服务、教育、医疗卫生、社会福利与保障、文化体育和市政公用等设施，需确保设置；另一类是经营性基本公共服务设施，主要是商业金融服务设施，其建设主要以市场推动为主。</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现指引中无商业金融服务设施，不再区分公益性公共服务设施和经营性公共服务设施，因此删除此条。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b w:val="0"/>
                <w:bCs w:val="0"/>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4.1.6对于人口规模低于基层社区的规划保留村或特色村，不纳入本指引分级分类配建范围，但可通过提高交通可达性，提高农村社区设施服务覆盖范围的方式来解决其基本公共服务供给问题。</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本指引分别按照乡集镇层级和村（组）层级对公共服务设施配置提出要求，覆盖所有村（组），原指引相关内容不再表述。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4.2.1 农村社区基本公共服务设施应在交通便利的社区中心地段或入口集中设置，具体配建要求和规模应按照表4-1的规定执行。</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设施选址内容细化至乡村社区各类公共服务设施配置和选址要求中。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4.2.2 中心村基本公共服务设施应集中布局，符合自治区、市相关规定，形成中心用地。公益性基本公共服务设施总建筑面积不应少于1200㎡。若农村社区人口规模达到5000人左右，可设置一所6班幼儿园。</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1.相关选址要求已细化至乡村社区各类公共服务设施配置和选址要求中。</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2.本指引分别按照乡集镇层级和村（组）层级对公共服务设施配置提出要求，不区分基层村和中心村，也不存在减量或选择性配置的情况。</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3.现指引中无商业金融服务设施，不再区分公益性公共服务设施和经营性公共服务设施。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p>
        </w:tc>
        <w:tc>
          <w:tcPr>
            <w:tcW w:w="435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4.2.3 基层村基本公共服务设施参照中心村，适当减量或有选择性配置，鼓励进行空间的多功能复合利用。</w:t>
            </w:r>
          </w:p>
        </w:tc>
        <w:tc>
          <w:tcPr>
            <w:tcW w:w="3891" w:type="dxa"/>
            <w:shd w:val="clear" w:color="auto" w:fill="auto"/>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【删除条文】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本指引分别按照乡集镇层级和村（组）层级对公共服务设施配置提出要求，不区分基层村和中心村，也不存在减量或选择性配置的情况。</w:t>
            </w:r>
          </w:p>
        </w:tc>
      </w:tr>
      <w:bookmarkEnd w:id="103"/>
      <w:bookmarkEnd w:id="10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4.2.1行政管理服务设施：乡集镇级的行政管理服务设施包括乡镇便民服务中心。村（组）级的行政管理服务设施包括村便民服务站。具体配建要求应符合表4.2的规定</w:t>
            </w:r>
            <w:r>
              <w:rPr>
                <w:rFonts w:hint="eastAsia" w:ascii="宋体" w:hAnsi="宋体" w:eastAsia="宋体" w:cs="宋体"/>
                <w:color w:val="auto"/>
                <w:sz w:val="21"/>
                <w:szCs w:val="21"/>
                <w:highlight w:val="none"/>
              </w:rPr>
              <w:t>。</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default"/>
                <w:sz w:val="21"/>
                <w:szCs w:val="21"/>
              </w:rPr>
              <w:drawing>
                <wp:inline distT="0" distB="0" distL="114300" distR="114300">
                  <wp:extent cx="3747135" cy="1684020"/>
                  <wp:effectExtent l="0" t="0" r="5715" b="11430"/>
                  <wp:docPr id="57"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30"/>
                          <pic:cNvPicPr>
                            <a:picLocks noChangeAspect="true"/>
                          </pic:cNvPicPr>
                        </pic:nvPicPr>
                        <pic:blipFill>
                          <a:blip r:embed="rId18"/>
                          <a:stretch>
                            <a:fillRect/>
                          </a:stretch>
                        </pic:blipFill>
                        <pic:spPr>
                          <a:xfrm>
                            <a:off x="0" y="0"/>
                            <a:ext cx="3747135" cy="168402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原指引的文字部分没有明确选址要求，在“表4-1 农村社区基本公共服务设施配置标准表”中明确了农村社区行政管理与公共服务用房配置要求。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1.将原指引中的“社区行政管理与公共服务用房”设施类型细化为“乡镇便民服务中心” 和“村便民服务站”。</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《宁夏回族自治区全面推进“高效办成一件事”进一步提高行政工作质效实施方案》：聚焦打造“15分钟政务服务圈”，持续加强</w:t>
            </w:r>
            <w:r>
              <w:rPr>
                <w:rFonts w:hint="eastAsia" w:ascii="宋体" w:hAnsi="宋体" w:eastAsia="宋体" w:cs="宋体"/>
                <w:b/>
                <w:bCs/>
                <w:color w:val="auto"/>
                <w:sz w:val="21"/>
                <w:szCs w:val="21"/>
                <w:highlight w:val="none"/>
                <w:lang w:val="en-US" w:eastAsia="zh-CN"/>
              </w:rPr>
              <w:t>乡镇（街道）、村（社区）便民服务中心（站）标准化建设</w:t>
            </w:r>
            <w:r>
              <w:rPr>
                <w:rFonts w:hint="eastAsia" w:ascii="宋体" w:hAnsi="宋体" w:eastAsia="宋体" w:cs="宋体"/>
                <w:b w:val="0"/>
                <w:bCs w:val="0"/>
                <w:color w:val="auto"/>
                <w:sz w:val="21"/>
                <w:szCs w:val="21"/>
                <w:highlight w:val="none"/>
                <w:lang w:val="en-US" w:eastAsia="zh-CN"/>
              </w:rPr>
              <w:t>，做优“一窗受理、全科服务”模式。《银川市政务服务管理办法》第十三条：推动</w:t>
            </w:r>
            <w:r>
              <w:rPr>
                <w:rFonts w:hint="eastAsia" w:ascii="宋体" w:hAnsi="宋体" w:eastAsia="宋体" w:cs="宋体"/>
                <w:b/>
                <w:bCs/>
                <w:color w:val="auto"/>
                <w:sz w:val="21"/>
                <w:szCs w:val="21"/>
                <w:highlight w:val="none"/>
                <w:lang w:val="en-US" w:eastAsia="zh-CN"/>
              </w:rPr>
              <w:t>乡镇（街道）便民服务中心、村（社区）便民服务站全覆盖</w:t>
            </w:r>
            <w:r>
              <w:rPr>
                <w:rFonts w:hint="eastAsia" w:ascii="宋体" w:hAnsi="宋体" w:eastAsia="宋体" w:cs="宋体"/>
                <w:b w:val="0"/>
                <w:bCs w:val="0"/>
                <w:color w:val="auto"/>
                <w:sz w:val="21"/>
                <w:szCs w:val="21"/>
                <w:highlight w:val="none"/>
                <w:lang w:val="en-US" w:eastAsia="zh-CN"/>
              </w:rPr>
              <w:t> 。</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2.根据最新标准规范，调整建筑面积的控制要求。</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《社区生活圈规划技术指南（TDT1062-2021）》表A.5明确村务室建筑面积单处一半规模为100-200㎡。</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【参考1】：</w:t>
            </w:r>
            <w:r>
              <w:rPr>
                <w:rFonts w:hint="eastAsia" w:ascii="宋体" w:hAnsi="宋体" w:eastAsia="宋体" w:cs="宋体"/>
                <w:b w:val="0"/>
                <w:bCs w:val="0"/>
                <w:color w:val="auto"/>
                <w:sz w:val="21"/>
                <w:szCs w:val="21"/>
                <w:highlight w:val="none"/>
                <w:lang w:val="en-US" w:eastAsia="zh-CN"/>
              </w:rPr>
              <w:t>河南省《乡（镇、街道）便民服务中心、村（社区）便民服务站建设规范》（DB41/T 2721—2024）：便民服务中心宜为 180 ㎡以上。</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【参考2】：</w:t>
            </w:r>
            <w:r>
              <w:rPr>
                <w:rFonts w:hint="eastAsia" w:ascii="宋体" w:hAnsi="宋体" w:eastAsia="宋体" w:cs="宋体"/>
                <w:b w:val="0"/>
                <w:bCs w:val="0"/>
                <w:color w:val="auto"/>
                <w:sz w:val="21"/>
                <w:szCs w:val="21"/>
                <w:highlight w:val="none"/>
                <w:lang w:val="en-US" w:eastAsia="zh-CN"/>
              </w:rPr>
              <w:t>来宾市《乡镇便民服务中心建设规范》DB4513/T 0002—2023：乡镇人口≤3 万人时，场所面积≥100 ㎡；乡镇人口 3～</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 万人时，场所面积≥150 ㎡；乡镇人口≥5 万人时，场所面积≥200 ㎡。</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3.细化设施选址配置要求。</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《社区生活圈规划技术指南（TDT1062-2021）》表A.5</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【参考1】：</w:t>
            </w:r>
            <w:r>
              <w:rPr>
                <w:rFonts w:hint="eastAsia" w:ascii="宋体" w:hAnsi="宋体" w:eastAsia="宋体" w:cs="宋体"/>
                <w:b w:val="0"/>
                <w:bCs w:val="0"/>
                <w:color w:val="auto"/>
                <w:sz w:val="21"/>
                <w:szCs w:val="21"/>
                <w:highlight w:val="none"/>
                <w:lang w:val="en-US" w:eastAsia="zh-CN"/>
              </w:rPr>
              <w:t>河南省《乡（镇、街道）便民服务中心、村（社区）便民服务站建设规范》（DB41/T 2721—2024）：4.1.1 乡（镇、街道）便民服务中心选址应符合乡（镇、街道）规划要求，宜选在靠近乡（镇、街道）政府或交通便利、公共设施较完善、临街的醒目位置。</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【参考2】：</w:t>
            </w:r>
            <w:r>
              <w:rPr>
                <w:rFonts w:hint="eastAsia" w:ascii="宋体" w:hAnsi="宋体" w:eastAsia="宋体" w:cs="宋体"/>
                <w:b w:val="0"/>
                <w:bCs w:val="0"/>
                <w:color w:val="auto"/>
                <w:sz w:val="21"/>
                <w:szCs w:val="21"/>
                <w:highlight w:val="none"/>
                <w:lang w:val="en-US" w:eastAsia="zh-CN"/>
              </w:rPr>
              <w:t>来宾市《乡镇便民服务中心建设规范》DB4513/T 0002—2023：5.1.1 宜选择交通便利，方便群众办事的区域。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bookmarkStart w:id="105" w:name="_Toc25669"/>
            <w:bookmarkStart w:id="106" w:name="_Toc17401"/>
            <w:r>
              <w:rPr>
                <w:rFonts w:hint="eastAsia" w:ascii="宋体" w:hAnsi="宋体" w:eastAsia="宋体" w:cs="宋体"/>
                <w:b w:val="0"/>
                <w:bCs w:val="0"/>
                <w:color w:val="FF0000"/>
                <w:sz w:val="21"/>
                <w:szCs w:val="21"/>
                <w:highlight w:val="none"/>
                <w:lang w:val="en-US" w:eastAsia="zh-CN"/>
              </w:rPr>
              <w:t>4.2.2文化设施：乡集镇级的文化设施包括乡镇综合文化站。村（组）级的文化设施包括村综合文化服务中心和特色民俗活动点。具体配建要求应符合表4.3的规定。</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kern w:val="0"/>
                <w:sz w:val="21"/>
                <w:szCs w:val="21"/>
                <w:highlight w:val="none"/>
                <w:lang w:val="en-US" w:eastAsia="zh-CN" w:bidi="ar-SA"/>
              </w:rPr>
            </w:pPr>
            <w:r>
              <w:rPr>
                <w:rFonts w:hint="default"/>
                <w:sz w:val="21"/>
                <w:szCs w:val="21"/>
              </w:rPr>
              <w:drawing>
                <wp:inline distT="0" distB="0" distL="114300" distR="114300">
                  <wp:extent cx="3745865" cy="1646555"/>
                  <wp:effectExtent l="0" t="0" r="6985" b="10795"/>
                  <wp:docPr id="58"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true"/>
                          </pic:cNvPicPr>
                        </pic:nvPicPr>
                        <pic:blipFill>
                          <a:blip r:embed="rId19"/>
                          <a:stretch>
                            <a:fillRect/>
                          </a:stretch>
                        </pic:blipFill>
                        <pic:spPr>
                          <a:xfrm>
                            <a:off x="0" y="0"/>
                            <a:ext cx="3745865" cy="1646555"/>
                          </a:xfrm>
                          <a:prstGeom prst="rect">
                            <a:avLst/>
                          </a:prstGeom>
                          <a:noFill/>
                          <a:ln>
                            <a:noFill/>
                          </a:ln>
                        </pic:spPr>
                      </pic:pic>
                    </a:graphicData>
                  </a:graphic>
                </wp:inline>
              </w:drawing>
            </w:r>
          </w:p>
        </w:tc>
        <w:tc>
          <w:tcPr>
            <w:tcW w:w="4354" w:type="dxa"/>
            <w:shd w:val="clear" w:color="auto" w:fill="auto"/>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原指引的文字部分没有明确选址要求，在“表4-1 农村社区基本公共服务设施配置标准表”中明确了农村社区文化活动室的配置要求。</w:t>
            </w:r>
          </w:p>
        </w:tc>
        <w:tc>
          <w:tcPr>
            <w:tcW w:w="3891" w:type="dxa"/>
            <w:shd w:val="clear" w:color="auto" w:fill="auto"/>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 将原指引中的“文化站”和“文化活动室”分别修改为“乡镇综合文化站”和“村综合文化服务中心”；村组级分类中增加特色民俗活动点。</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《宁夏公共文化服务体系“十三五”建设规划（修订本）》提出：自治区重大文化设施更加完善,地市级图书馆、文化馆、博物馆,县(区)图书馆、文化馆,</w:t>
            </w:r>
            <w:r>
              <w:rPr>
                <w:rFonts w:hint="eastAsia" w:ascii="宋体" w:hAnsi="宋体" w:eastAsia="宋体" w:cs="宋体"/>
                <w:b/>
                <w:bCs/>
                <w:color w:val="auto"/>
                <w:sz w:val="21"/>
                <w:szCs w:val="21"/>
                <w:highlight w:val="none"/>
                <w:lang w:val="en-US" w:eastAsia="zh-CN"/>
              </w:rPr>
              <w:t>乡镇(街道)综合文化站实现全覆盖,行政村(社区)综合文化服务中心全部达到“七个一”建设标准</w:t>
            </w:r>
            <w:r>
              <w:rPr>
                <w:rFonts w:hint="eastAsia" w:ascii="宋体" w:hAnsi="宋体" w:eastAsia="宋体" w:cs="宋体"/>
                <w:b w:val="0"/>
                <w:bCs w:val="0"/>
                <w:color w:val="auto"/>
                <w:sz w:val="21"/>
                <w:szCs w:val="21"/>
                <w:highlight w:val="none"/>
                <w:lang w:val="en-US" w:eastAsia="zh-CN"/>
              </w:rPr>
              <w:t>。</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《中共宁夏回族自治区委员会关于制定国民经济和社会发展第十四个五年规划和二〇三五年远景目标的建议》提出：实施文化惠民工程，推进县级文化馆、图书馆和</w:t>
            </w:r>
            <w:r>
              <w:rPr>
                <w:rFonts w:hint="eastAsia" w:ascii="宋体" w:hAnsi="宋体" w:eastAsia="宋体" w:cs="宋体"/>
                <w:b/>
                <w:bCs/>
                <w:color w:val="auto"/>
                <w:sz w:val="21"/>
                <w:szCs w:val="21"/>
                <w:highlight w:val="none"/>
                <w:lang w:val="en-US" w:eastAsia="zh-CN"/>
              </w:rPr>
              <w:t>乡镇综合文化站达标升级</w:t>
            </w:r>
            <w:r>
              <w:rPr>
                <w:rFonts w:hint="eastAsia" w:ascii="宋体" w:hAnsi="宋体" w:eastAsia="宋体" w:cs="宋体"/>
                <w:b w:val="0"/>
                <w:bCs w:val="0"/>
                <w:color w:val="auto"/>
                <w:sz w:val="21"/>
                <w:szCs w:val="21"/>
                <w:highlight w:val="none"/>
                <w:lang w:val="en-US" w:eastAsia="zh-CN"/>
              </w:rPr>
              <w:t>、发挥作用，提升</w:t>
            </w:r>
            <w:r>
              <w:rPr>
                <w:rFonts w:hint="eastAsia" w:ascii="宋体" w:hAnsi="宋体" w:eastAsia="宋体" w:cs="宋体"/>
                <w:b/>
                <w:bCs/>
                <w:color w:val="auto"/>
                <w:sz w:val="21"/>
                <w:szCs w:val="21"/>
                <w:highlight w:val="none"/>
                <w:lang w:val="en-US" w:eastAsia="zh-CN"/>
              </w:rPr>
              <w:t>村综合文化服务中心</w:t>
            </w:r>
            <w:r>
              <w:rPr>
                <w:rFonts w:hint="eastAsia" w:ascii="宋体" w:hAnsi="宋体" w:eastAsia="宋体" w:cs="宋体"/>
                <w:b w:val="0"/>
                <w:bCs w:val="0"/>
                <w:color w:val="auto"/>
                <w:sz w:val="21"/>
                <w:szCs w:val="21"/>
                <w:highlight w:val="none"/>
                <w:lang w:val="en-US" w:eastAsia="zh-CN"/>
              </w:rPr>
              <w:t>服务功能。</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【依据3】：</w:t>
            </w:r>
            <w:r>
              <w:rPr>
                <w:rFonts w:hint="eastAsia" w:ascii="宋体" w:hAnsi="宋体" w:eastAsia="宋体" w:cs="宋体"/>
                <w:b w:val="0"/>
                <w:bCs w:val="0"/>
                <w:color w:val="auto"/>
                <w:sz w:val="21"/>
                <w:szCs w:val="21"/>
                <w:highlight w:val="none"/>
                <w:lang w:val="en-US" w:eastAsia="zh-CN"/>
              </w:rPr>
              <w:t>《社区生活圈规划技术指南（TDT1062-2021）》提出宜结合村庄活动中心设置特色民俗活动点。</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 按照国家最新标准，结合我区实际，调整建筑面积和用地面积控制指标。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《宁夏回族自治区建设用地控制指标》（2024年版）表3.2。</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《社区生活圈规划技术指南（TDT1062-2021）》表A.5。</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3.细化设施选址配置要求。</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《宁夏回族自治区建设用地控制指标》（2024年版）表3.2：乡镇综合文化站宜为一至三层建筑，并应设有不少于600平方米的室外活动场地。</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《社区生活圈规划技术指南（TDT1062-2021）》表A.5。</w:t>
            </w:r>
          </w:p>
        </w:tc>
      </w:tr>
      <w:bookmarkEnd w:id="105"/>
      <w:bookmarkEnd w:id="10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4.2.3教育设施：乡集镇级教育设施包括初中、小学和幼儿园。村（组）级教育设施包括幼儿园和小规模学校。具体配建要求应符合表4.4的规定。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highlight w:val="none"/>
                <w:lang w:val="en-US" w:eastAsia="zh-CN"/>
              </w:rPr>
            </w:pPr>
            <w:r>
              <w:rPr>
                <w:rFonts w:hint="default"/>
              </w:rPr>
              <w:drawing>
                <wp:inline distT="0" distB="0" distL="114300" distR="114300">
                  <wp:extent cx="3107055" cy="3294380"/>
                  <wp:effectExtent l="0" t="0" r="17145" b="1270"/>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20"/>
                          <a:srcRect l="14431" t="22077" r="56669" b="23465"/>
                          <a:stretch>
                            <a:fillRect/>
                          </a:stretch>
                        </pic:blipFill>
                        <pic:spPr>
                          <a:xfrm>
                            <a:off x="0" y="0"/>
                            <a:ext cx="3107055" cy="329438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原指引的文字部分没有明确选址要求，在“表4-1 农村社区基本公共服务设施配置标准表”中明确了农村社区幼儿园的配置要求。</w:t>
            </w:r>
          </w:p>
        </w:tc>
        <w:tc>
          <w:tcPr>
            <w:tcW w:w="3891" w:type="dxa"/>
            <w:noWrap w:val="0"/>
            <w:vAlign w:val="center"/>
          </w:tcPr>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4"/>
              </w:numPr>
              <w:suppressLineNumbers w:val="0"/>
              <w:kinsoku/>
              <w:wordWrap/>
              <w:overflowPunct/>
              <w:topLinePunct/>
              <w:autoSpaceDE/>
              <w:autoSpaceDN/>
              <w:bidi w:val="0"/>
              <w:adjustRightInd/>
              <w:snapToGrid w:val="0"/>
              <w:spacing w:before="0" w:beforeAutospacing="0" w:after="0" w:afterAutospacing="0" w:line="300" w:lineRule="exact"/>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村（组）级教育设施增加了小规模学校。</w:t>
            </w:r>
          </w:p>
          <w:p>
            <w:pPr>
              <w:keepNext w:val="0"/>
              <w:keepLines w:val="0"/>
              <w:pageBreakBefore w:val="0"/>
              <w:widowControl w:val="0"/>
              <w:suppressLineNumbers w:val="0"/>
              <w:kinsoku/>
              <w:wordWrap/>
              <w:overflowPunct/>
              <w:autoSpaceDE/>
              <w:autoSpaceDN/>
              <w:bidi w:val="0"/>
              <w:adjustRightInd/>
              <w:spacing w:before="0" w:beforeAutospacing="0" w:after="0" w:afterAutospacing="0" w:line="300" w:lineRule="exact"/>
              <w:ind w:left="0" w:right="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《社区生活圈规划技术指南（TDT1062-2021）》表A.5。</w:t>
            </w:r>
          </w:p>
          <w:p>
            <w:pPr>
              <w:keepNext w:val="0"/>
              <w:keepLines w:val="0"/>
              <w:pageBreakBefore w:val="0"/>
              <w:widowControl w:val="0"/>
              <w:suppressLineNumbers w:val="0"/>
              <w:kinsoku/>
              <w:wordWrap/>
              <w:overflowPunct/>
              <w:autoSpaceDE/>
              <w:autoSpaceDN/>
              <w:bidi w:val="0"/>
              <w:adjustRightInd/>
              <w:spacing w:before="0" w:beforeAutospacing="0" w:after="0" w:afterAutospacing="0" w:line="300" w:lineRule="exact"/>
              <w:ind w:left="0" w:right="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《国务院办公厅关于全面加强乡村小规模学校和乡镇寄宿制学校建设的指导意见》</w:t>
            </w:r>
          </w:p>
          <w:p>
            <w:pPr>
              <w:keepNext w:val="0"/>
              <w:keepLines w:val="0"/>
              <w:pageBreakBefore w:val="0"/>
              <w:widowControl w:val="0"/>
              <w:suppressLineNumbers w:val="0"/>
              <w:kinsoku/>
              <w:wordWrap/>
              <w:overflowPunct/>
              <w:autoSpaceDE/>
              <w:autoSpaceDN/>
              <w:bidi w:val="0"/>
              <w:adjustRightInd/>
              <w:spacing w:before="0" w:beforeAutospacing="0" w:after="0" w:afterAutospacing="0" w:line="300" w:lineRule="exact"/>
              <w:ind w:left="0" w:right="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【依据3】：</w:t>
            </w:r>
            <w:r>
              <w:rPr>
                <w:rFonts w:hint="eastAsia" w:ascii="宋体" w:hAnsi="宋体" w:eastAsia="宋体" w:cs="宋体"/>
                <w:b w:val="0"/>
                <w:bCs w:val="0"/>
                <w:color w:val="auto"/>
                <w:sz w:val="21"/>
                <w:szCs w:val="21"/>
                <w:highlight w:val="none"/>
                <w:lang w:val="en-US" w:eastAsia="zh-CN"/>
              </w:rPr>
              <w:t>《宁夏回族自治区乡村小规模学校教师走教支持计划试点工作方案》提出，针对</w:t>
            </w:r>
            <w:r>
              <w:rPr>
                <w:rFonts w:hint="eastAsia" w:ascii="宋体" w:hAnsi="宋体" w:eastAsia="宋体" w:cs="宋体"/>
                <w:b/>
                <w:bCs/>
                <w:color w:val="auto"/>
                <w:sz w:val="21"/>
                <w:szCs w:val="21"/>
                <w:highlight w:val="none"/>
                <w:lang w:val="en-US" w:eastAsia="zh-CN"/>
              </w:rPr>
              <w:t>乡村小规模学校</w:t>
            </w:r>
            <w:r>
              <w:rPr>
                <w:rFonts w:hint="eastAsia" w:ascii="宋体" w:hAnsi="宋体" w:eastAsia="宋体" w:cs="宋体"/>
                <w:b w:val="0"/>
                <w:bCs w:val="0"/>
                <w:color w:val="auto"/>
                <w:sz w:val="21"/>
                <w:szCs w:val="21"/>
                <w:highlight w:val="none"/>
                <w:lang w:val="en-US" w:eastAsia="zh-CN"/>
              </w:rPr>
              <w:t>音体美等学科教师总量不足、结构性短缺等问题，探索实施“乡村小规模学校教师走教支持计划”。</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 按照国家最新标准，结合我区实际，对教育设施的“设置标准”进行了修改，指标由“占地面积”改为“</w:t>
            </w:r>
            <w:r>
              <w:rPr>
                <w:rFonts w:hint="eastAsia" w:ascii="宋体" w:hAnsi="宋体" w:cs="宋体"/>
                <w:b w:val="0"/>
                <w:bCs w:val="0"/>
                <w:color w:val="auto"/>
                <w:sz w:val="21"/>
                <w:szCs w:val="21"/>
                <w:highlight w:val="none"/>
                <w:lang w:val="en-US" w:eastAsia="zh-CN"/>
              </w:rPr>
              <w:t>生</w:t>
            </w:r>
            <w:r>
              <w:rPr>
                <w:rFonts w:hint="eastAsia" w:ascii="宋体" w:hAnsi="宋体" w:eastAsia="宋体" w:cs="宋体"/>
                <w:b w:val="0"/>
                <w:bCs w:val="0"/>
                <w:color w:val="auto"/>
                <w:sz w:val="21"/>
                <w:szCs w:val="21"/>
                <w:highlight w:val="none"/>
                <w:lang w:val="en-US" w:eastAsia="zh-CN"/>
              </w:rPr>
              <w:t>均用地面积”。</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《宁夏回族自治区建设用地控制指标》（2024年版）表1.2和表2.1。</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《社区生活圈规划技术指南（TDT1062-2021）》表A.4和表A.5。</w:t>
            </w:r>
          </w:p>
          <w:p>
            <w:pPr>
              <w:pStyle w:val="15"/>
              <w:keepNext w:val="0"/>
              <w:keepLines w:val="0"/>
              <w:pageBreakBefore w:val="0"/>
              <w:widowControl w:val="0"/>
              <w:numPr>
                <w:ilvl w:val="0"/>
                <w:numId w:val="4"/>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细化教育设施布局的选址要求。</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《社区生活圈规划技术指南（TDT1062-2021）》表A.4和表A.5。</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《农村普通中小学校建设标准》。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4.2.4体育设施：乡集镇级的体育设施包括乡镇体育中心和室外综合健身场地，村（组）级的体育设施包括健身广场。具体配建要求应符合表4.5的规定</w:t>
            </w:r>
            <w:r>
              <w:rPr>
                <w:rFonts w:hint="eastAsia" w:ascii="宋体" w:hAnsi="宋体" w:eastAsia="宋体" w:cs="宋体"/>
                <w:color w:val="FF0000"/>
                <w:sz w:val="21"/>
                <w:szCs w:val="21"/>
                <w:highlight w:val="none"/>
                <w:lang w:val="en-US" w:eastAsia="zh-CN"/>
              </w:rPr>
              <w:t>。</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default"/>
                <w:sz w:val="21"/>
                <w:szCs w:val="21"/>
              </w:rPr>
              <w:drawing>
                <wp:inline distT="0" distB="0" distL="114300" distR="114300">
                  <wp:extent cx="3744595" cy="2228215"/>
                  <wp:effectExtent l="0" t="0" r="8255" b="635"/>
                  <wp:docPr id="60"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33"/>
                          <pic:cNvPicPr>
                            <a:picLocks noChangeAspect="true"/>
                          </pic:cNvPicPr>
                        </pic:nvPicPr>
                        <pic:blipFill>
                          <a:blip r:embed="rId21"/>
                          <a:stretch>
                            <a:fillRect/>
                          </a:stretch>
                        </pic:blipFill>
                        <pic:spPr>
                          <a:xfrm>
                            <a:off x="0" y="0"/>
                            <a:ext cx="3744595" cy="2228215"/>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原指引的文字部分没有明确选址要求，在“表4-1 农村社区基本公共服务设施配置标准表”中明确了农村社区建设体育健身设施的配置要求。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 将原指引中的“体育健身设施”类型进行细化，乡集镇级设施分为乡镇体育中心和</w:t>
            </w:r>
            <w:r>
              <w:rPr>
                <w:rFonts w:hint="eastAsia" w:ascii="宋体" w:hAnsi="宋体" w:eastAsia="宋体" w:cs="宋体"/>
                <w:b w:val="0"/>
                <w:bCs w:val="0"/>
                <w:color w:val="auto"/>
                <w:sz w:val="21"/>
                <w:szCs w:val="21"/>
                <w:highlight w:val="none"/>
                <w:lang w:eastAsia="zh-CN"/>
              </w:rPr>
              <w:t>室外</w:t>
            </w:r>
            <w:r>
              <w:rPr>
                <w:rFonts w:hint="eastAsia" w:ascii="宋体" w:hAnsi="宋体" w:eastAsia="宋体" w:cs="宋体"/>
                <w:b w:val="0"/>
                <w:bCs w:val="0"/>
                <w:color w:val="auto"/>
                <w:sz w:val="21"/>
                <w:szCs w:val="21"/>
                <w:highlight w:val="none"/>
              </w:rPr>
              <w:t>综合健身场地</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rPr>
              <w:t>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级设施</w:t>
            </w:r>
            <w:r>
              <w:rPr>
                <w:rFonts w:hint="eastAsia" w:ascii="宋体" w:hAnsi="宋体" w:eastAsia="宋体" w:cs="宋体"/>
                <w:color w:val="auto"/>
                <w:sz w:val="21"/>
                <w:szCs w:val="21"/>
                <w:highlight w:val="none"/>
                <w:lang w:eastAsia="zh-CN"/>
              </w:rPr>
              <w:t>分为</w:t>
            </w:r>
            <w:r>
              <w:rPr>
                <w:rFonts w:hint="eastAsia" w:ascii="宋体" w:hAnsi="宋体" w:eastAsia="宋体" w:cs="宋体"/>
                <w:color w:val="auto"/>
                <w:sz w:val="21"/>
                <w:szCs w:val="21"/>
                <w:highlight w:val="none"/>
              </w:rPr>
              <w:t>健身广场</w:t>
            </w:r>
            <w:r>
              <w:rPr>
                <w:rFonts w:hint="eastAsia" w:ascii="宋体" w:hAnsi="宋体" w:eastAsia="宋体" w:cs="宋体"/>
                <w:color w:val="auto"/>
                <w:sz w:val="21"/>
                <w:szCs w:val="21"/>
                <w:highlight w:val="none"/>
                <w:lang w:eastAsia="zh-CN"/>
              </w:rPr>
              <w:t>。</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 按照国家最新标准，调整建筑面积和用地面积控制指标，并细化设施选址配置要求。</w:t>
            </w:r>
          </w:p>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《社区生活圈规划技术指南（TDT1062-2021）》表A.4和表A.5。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4.2.5医疗卫生设施:乡集镇级的医疗卫生设施包括乡镇卫生院，村（组）级的医疗卫生设施包括村卫生室。具体配建要求应符合表4.6的规定</w:t>
            </w:r>
            <w:r>
              <w:rPr>
                <w:rFonts w:hint="eastAsia" w:ascii="宋体" w:hAnsi="宋体" w:eastAsia="宋体" w:cs="宋体"/>
                <w:color w:val="FF0000"/>
                <w:sz w:val="21"/>
                <w:szCs w:val="21"/>
                <w:highlight w:val="none"/>
                <w:lang w:val="en-US" w:eastAsia="zh-CN"/>
              </w:rPr>
              <w:t>。</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default"/>
                <w:sz w:val="21"/>
                <w:szCs w:val="21"/>
              </w:rPr>
              <w:drawing>
                <wp:inline distT="0" distB="0" distL="114300" distR="114300">
                  <wp:extent cx="3746500" cy="1588135"/>
                  <wp:effectExtent l="0" t="0" r="6350" b="12065"/>
                  <wp:docPr id="61"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34"/>
                          <pic:cNvPicPr>
                            <a:picLocks noChangeAspect="true"/>
                          </pic:cNvPicPr>
                        </pic:nvPicPr>
                        <pic:blipFill>
                          <a:blip r:embed="rId22"/>
                          <a:stretch>
                            <a:fillRect/>
                          </a:stretch>
                        </pic:blipFill>
                        <pic:spPr>
                          <a:xfrm>
                            <a:off x="0" y="0"/>
                            <a:ext cx="3746500" cy="1588135"/>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原指引的文字部分没有明确选址要求，在“表 3-1 小城镇社区基本公共服务设施配建标准”和“表4-1 农村社区基本公共服务设施配置标准表”中明确了小城镇社区卫生院和农村社区建设卫生室的配置要求。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按照国家最新标准，调整乡镇卫生院和村卫生室的建筑面积和用地面积，并细化设施选址配置要求。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《社区生活圈规划技术指南（TDT1062-2021）》表A.4和表A.5。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4.2.6社会福利设施:乡集镇级的社会福利设施包括老年活动室和老年人日间照料中心（托老所），村（组）级的社会福利设施包括老年活动室、老年人日间照料中心和村级幸福院。具体配建要求应符合表4.7的规定</w:t>
            </w:r>
            <w:r>
              <w:rPr>
                <w:rFonts w:hint="eastAsia" w:ascii="宋体" w:hAnsi="宋体" w:eastAsia="宋体" w:cs="宋体"/>
                <w:color w:val="FF0000"/>
                <w:sz w:val="21"/>
                <w:szCs w:val="21"/>
                <w:highlight w:val="none"/>
              </w:rPr>
              <w:t>。</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default"/>
                <w:sz w:val="21"/>
                <w:szCs w:val="21"/>
              </w:rPr>
              <w:drawing>
                <wp:inline distT="0" distB="0" distL="114300" distR="114300">
                  <wp:extent cx="3746500" cy="3298190"/>
                  <wp:effectExtent l="0" t="0" r="6350" b="16510"/>
                  <wp:docPr id="62"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35"/>
                          <pic:cNvPicPr>
                            <a:picLocks noChangeAspect="true"/>
                          </pic:cNvPicPr>
                        </pic:nvPicPr>
                        <pic:blipFill>
                          <a:blip r:embed="rId23"/>
                          <a:stretch>
                            <a:fillRect/>
                          </a:stretch>
                        </pic:blipFill>
                        <pic:spPr>
                          <a:xfrm>
                            <a:off x="0" y="0"/>
                            <a:ext cx="3746500" cy="329819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原指引的文字部分没有明确选址要求，在“表4-1 农村社区基本公共服务设施配置标准表”中明确了农村社区建设社会福利设施即托老所的配置要求。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5"/>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结合养老服务设施发展实际，细化调整社会福利设施类型。</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w:t>
            </w:r>
            <w:r>
              <w:rPr>
                <w:rFonts w:hint="eastAsia" w:ascii="宋体" w:hAnsi="宋体" w:eastAsia="宋体" w:cs="宋体"/>
                <w:b w:val="0"/>
                <w:bCs w:val="0"/>
                <w:color w:val="auto"/>
                <w:sz w:val="21"/>
                <w:szCs w:val="21"/>
                <w:highlight w:val="none"/>
                <w:lang w:val="en-US" w:eastAsia="zh-CN"/>
              </w:rPr>
              <w:t>《社区生活圈规划技术指南（TDT1062-2021）》表A.4和表A.5。</w:t>
            </w:r>
          </w:p>
          <w:p>
            <w:pPr>
              <w:pStyle w:val="15"/>
              <w:keepNext w:val="0"/>
              <w:keepLines w:val="0"/>
              <w:pageBreakBefore w:val="0"/>
              <w:widowControl w:val="0"/>
              <w:numPr>
                <w:ilvl w:val="0"/>
                <w:numId w:val="5"/>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按照国家最新标准，结合我区实际，调整建筑面积和用地面积控制指标。</w:t>
            </w:r>
          </w:p>
          <w:p>
            <w:pPr>
              <w:pStyle w:val="15"/>
              <w:keepNext w:val="0"/>
              <w:keepLines w:val="0"/>
              <w:pageBreakBefore w:val="0"/>
              <w:widowControl w:val="0"/>
              <w:numPr>
                <w:ilvl w:val="-1"/>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《社区生活圈规划技术指南（TDT1062-2021）》表A.4和表A.5</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【依据2】：</w:t>
            </w:r>
            <w:r>
              <w:rPr>
                <w:rFonts w:hint="eastAsia" w:ascii="宋体" w:hAnsi="宋体" w:eastAsia="宋体" w:cs="宋体"/>
                <w:b w:val="0"/>
                <w:bCs w:val="0"/>
                <w:color w:val="auto"/>
                <w:sz w:val="21"/>
                <w:szCs w:val="21"/>
                <w:highlight w:val="none"/>
                <w:lang w:val="en-US" w:eastAsia="zh-CN"/>
              </w:rPr>
              <w:t>《宁夏回族自治区农村老饭桌管理办法》第八条：新建的农村老饭桌每个建筑面积应不低于100平方米,改建的农村老饭桌根据改建房屋面积具体确定。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4.2.7其他设施:乡集镇级的其他设施包括生活垃圾转运站、公共厕所；村（组）级的其他设施包括垃圾收集点、公共厕所、小型排污设施。其他设施按照国家、自治区对相关设施的设置标准及专业规划设置进行配置。具体配建要求应符合表4.8的规定</w:t>
            </w:r>
            <w:r>
              <w:rPr>
                <w:rFonts w:hint="eastAsia" w:ascii="宋体" w:hAnsi="宋体" w:eastAsia="宋体" w:cs="宋体"/>
                <w:color w:val="FF0000"/>
                <w:sz w:val="21"/>
                <w:szCs w:val="21"/>
                <w:highlight w:val="none"/>
                <w:lang w:val="en-US" w:eastAsia="zh-CN"/>
              </w:rPr>
              <w:t>。</w:t>
            </w:r>
          </w:p>
          <w:p>
            <w:pPr>
              <w:keepNext w:val="0"/>
              <w:keepLines w:val="0"/>
              <w:pageBreakBefore w:val="0"/>
              <w:suppressLineNumbers w:val="0"/>
              <w:kinsoku/>
              <w:wordWrap/>
              <w:overflow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sz w:val="21"/>
                <w:szCs w:val="21"/>
                <w:highlight w:val="none"/>
                <w:lang w:val="en-US" w:eastAsia="zh-CN"/>
              </w:rPr>
            </w:pPr>
            <w:r>
              <w:rPr>
                <w:rFonts w:hint="default"/>
                <w:sz w:val="21"/>
                <w:szCs w:val="21"/>
              </w:rPr>
              <w:drawing>
                <wp:inline distT="0" distB="0" distL="114300" distR="114300">
                  <wp:extent cx="3747135" cy="3553460"/>
                  <wp:effectExtent l="0" t="0" r="5715" b="8890"/>
                  <wp:docPr id="63"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true"/>
                          </pic:cNvPicPr>
                        </pic:nvPicPr>
                        <pic:blipFill>
                          <a:blip r:embed="rId24"/>
                          <a:stretch>
                            <a:fillRect/>
                          </a:stretch>
                        </pic:blipFill>
                        <pic:spPr>
                          <a:xfrm>
                            <a:off x="0" y="0"/>
                            <a:ext cx="3747135" cy="3553460"/>
                          </a:xfrm>
                          <a:prstGeom prst="rect">
                            <a:avLst/>
                          </a:prstGeom>
                          <a:noFill/>
                          <a:ln>
                            <a:noFill/>
                          </a:ln>
                        </pic:spPr>
                      </pic:pic>
                    </a:graphicData>
                  </a:graphic>
                </wp:inline>
              </w:drawing>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原指引的文字部分没有明确选址要求，在“表4-1 农村社区基本公共服务设施配置标准表”中明确了农村社区建设菜市场、生活日用品超市、农资超市、垃圾收集点、公厕、液化石油气瓶装供应站、邮政代办点（农村邮政加盟店）、电信代办点的配置要求。</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【调整条文】</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1.将原指引中的公厕、环保设施归并至其他设施中，并增加了排污设施，补充细化了配置要求。</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2.明确其他设施按照国家、自治区对相关设施的设置标准及专业规划设置进行配置，本指引不再对其规模指标进行规定。</w:t>
            </w:r>
          </w:p>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【依据1】</w:t>
            </w:r>
            <w:r>
              <w:rPr>
                <w:rFonts w:hint="eastAsia" w:ascii="宋体" w:hAnsi="宋体" w:eastAsia="宋体" w:cs="宋体"/>
                <w:b w:val="0"/>
                <w:bCs w:val="0"/>
                <w:color w:val="auto"/>
                <w:sz w:val="21"/>
                <w:szCs w:val="21"/>
                <w:highlight w:val="none"/>
                <w:lang w:val="en-US" w:eastAsia="zh-CN"/>
              </w:rPr>
              <w:t>：《社区生活圈规划技术指南》表A.4和表A.5。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center"/>
              <w:rPr>
                <w:rFonts w:hint="default"/>
                <w:sz w:val="21"/>
                <w:szCs w:val="21"/>
              </w:rPr>
            </w:pPr>
            <w:r>
              <w:rPr>
                <w:rFonts w:hint="eastAsia" w:ascii="宋体" w:hAnsi="宋体" w:eastAsia="宋体" w:cs="宋体"/>
                <w:color w:val="FF0000"/>
                <w:sz w:val="21"/>
                <w:szCs w:val="21"/>
                <w:highlight w:val="none"/>
              </w:rPr>
              <w:t>引用文件及标准名录</w:t>
            </w:r>
          </w:p>
        </w:tc>
        <w:tc>
          <w:tcPr>
            <w:tcW w:w="4354" w:type="dxa"/>
            <w:noWrap w:val="0"/>
            <w:vAlign w:val="center"/>
          </w:tcPr>
          <w:p>
            <w:pPr>
              <w:pStyle w:val="15"/>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i w:val="0"/>
                <w:iCs w:val="0"/>
                <w:color w:val="auto"/>
                <w:kern w:val="0"/>
                <w:sz w:val="21"/>
                <w:szCs w:val="21"/>
                <w:highlight w:val="none"/>
                <w:u w:val="none"/>
                <w:lang w:val="en-US" w:eastAsia="zh-CN" w:bidi="ar-SA"/>
              </w:rPr>
              <w:t>——</w:t>
            </w:r>
          </w:p>
        </w:tc>
        <w:tc>
          <w:tcPr>
            <w:tcW w:w="3891" w:type="dxa"/>
            <w:noWrap w:val="0"/>
            <w:vAlign w:val="center"/>
          </w:tcPr>
          <w:p>
            <w:pPr>
              <w:pStyle w:val="15"/>
              <w:keepNext w:val="0"/>
              <w:keepLines w:val="0"/>
              <w:pageBreakBefore w:val="0"/>
              <w:widowControl w:val="0"/>
              <w:numPr>
                <w:ilvl w:val="0"/>
                <w:numId w:val="0"/>
              </w:numPr>
              <w:suppressLineNumbers w:val="0"/>
              <w:kinsoku/>
              <w:wordWrap/>
              <w:overflowPunct/>
              <w:topLinePunct/>
              <w:autoSpaceDE/>
              <w:autoSpaceDN/>
              <w:bidi w:val="0"/>
              <w:adjustRightInd/>
              <w:snapToGrid w:val="0"/>
              <w:spacing w:before="0" w:beforeAutospacing="0" w:after="0" w:afterAutospacing="0" w:line="240" w:lineRule="auto"/>
              <w:ind w:left="0" w:right="0" w:firstLine="0" w:firstLineChars="0"/>
              <w:jc w:val="both"/>
              <w:textAlignment w:val="auto"/>
              <w:rPr>
                <w:rFonts w:hint="eastAsia" w:ascii="宋体" w:hAnsi="宋体" w:eastAsia="宋体" w:cs="宋体"/>
                <w:b/>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《中华人民共和国城乡规划法》</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《中华人民共和国土地管理法》</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《宁夏回族自治区国土空间规划条例》</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《城市公共服务设施规划标准》（GB50442-2008）</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《城市居住区规划设计标准》（GB50180-2018）</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《国土空间调查、规划、用途管制用地用海分类指南》（自然资发〔2023〕234号）</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《社区生活圈规划技术指南》（TDT1062-2021）</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《宁夏回族自治区建设用地控制指标（2024年版）》</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《宁夏回族自治区城镇开发边界内详细规划编制指南》（宁自然资发〔2024〕91号）</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《宁夏回族自治区村庄规划编制指南》（宁自然资办发〔2023〕22号）</w:t>
            </w:r>
          </w:p>
        </w:tc>
        <w:tc>
          <w:tcPr>
            <w:tcW w:w="4354" w:type="dxa"/>
            <w:shd w:val="clear" w:color="auto" w:fill="auto"/>
            <w:noWrap w:val="0"/>
            <w:vAlign w:val="center"/>
          </w:tcPr>
          <w:p>
            <w:pPr>
              <w:pStyle w:val="15"/>
              <w:keepNext w:val="0"/>
              <w:keepLines w:val="0"/>
              <w:pageBreakBefore w:val="0"/>
              <w:widowControl/>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SA"/>
              </w:rPr>
              <w:t>——</w:t>
            </w:r>
          </w:p>
        </w:tc>
        <w:tc>
          <w:tcPr>
            <w:tcW w:w="3891" w:type="dxa"/>
            <w:shd w:val="clear" w:color="auto" w:fill="auto"/>
            <w:noWrap w:val="0"/>
            <w:vAlign w:val="center"/>
          </w:tcPr>
          <w:p>
            <w:pPr>
              <w:pStyle w:val="15"/>
              <w:keepNext w:val="0"/>
              <w:keepLines w:val="0"/>
              <w:pageBreakBefore w:val="0"/>
              <w:widowControl/>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cs="宋体"/>
                <w:b/>
                <w:bCs/>
                <w:i w:val="0"/>
                <w:iCs w:val="0"/>
                <w:color w:val="auto"/>
                <w:kern w:val="0"/>
                <w:sz w:val="21"/>
                <w:szCs w:val="21"/>
                <w:highlight w:val="none"/>
                <w:u w:val="none"/>
                <w:lang w:val="en-US" w:eastAsia="zh-CN" w:bidi="ar"/>
              </w:rPr>
              <w:t>新增内容</w:t>
            </w:r>
            <w:r>
              <w:rPr>
                <w:rFonts w:hint="eastAsia" w:ascii="宋体" w:hAnsi="宋体" w:eastAsia="宋体" w:cs="宋体"/>
                <w:b/>
                <w:bCs/>
                <w:i w:val="0"/>
                <w:iCs w:val="0"/>
                <w:color w:val="auto"/>
                <w:kern w:val="0"/>
                <w:sz w:val="21"/>
                <w:szCs w:val="21"/>
                <w:highlight w:val="none"/>
                <w:u w:val="none"/>
                <w:lang w:val="en-US" w:eastAsia="zh-CN" w:bidi="ar"/>
              </w:rPr>
              <w:t>】</w:t>
            </w:r>
          </w:p>
          <w:p>
            <w:pPr>
              <w:pStyle w:val="15"/>
              <w:keepNext w:val="0"/>
              <w:keepLines w:val="0"/>
              <w:pageBreakBefore w:val="0"/>
              <w:widowControl/>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cs="宋体"/>
                <w:i w:val="0"/>
                <w:iCs w:val="0"/>
                <w:color w:val="auto"/>
                <w:kern w:val="0"/>
                <w:sz w:val="21"/>
                <w:szCs w:val="21"/>
                <w:highlight w:val="none"/>
                <w:u w:val="none"/>
                <w:lang w:val="en-US" w:eastAsia="zh-CN" w:bidi="ar"/>
              </w:rPr>
              <w:t>将</w:t>
            </w:r>
            <w:r>
              <w:rPr>
                <w:rFonts w:hint="eastAsia" w:ascii="宋体" w:hAnsi="宋体" w:eastAsia="宋体" w:cs="宋体"/>
                <w:i w:val="0"/>
                <w:iCs w:val="0"/>
                <w:color w:val="auto"/>
                <w:kern w:val="0"/>
                <w:sz w:val="21"/>
                <w:szCs w:val="21"/>
                <w:highlight w:val="none"/>
                <w:u w:val="none"/>
                <w:lang w:val="en-US" w:eastAsia="zh-CN" w:bidi="ar"/>
              </w:rPr>
              <w:t>国家、自治区关于国土空间规划和社区公共服务设施方面最新发布的法律法规、标准规范</w:t>
            </w:r>
            <w:r>
              <w:rPr>
                <w:rFonts w:hint="eastAsia" w:ascii="宋体" w:hAnsi="宋体" w:cs="宋体"/>
                <w:i w:val="0"/>
                <w:iCs w:val="0"/>
                <w:color w:val="auto"/>
                <w:kern w:val="0"/>
                <w:sz w:val="21"/>
                <w:szCs w:val="21"/>
                <w:highlight w:val="none"/>
                <w:u w:val="none"/>
                <w:lang w:val="en-US" w:eastAsia="zh-CN" w:bidi="ar"/>
              </w:rPr>
              <w:t>，统一收录在</w:t>
            </w:r>
            <w:r>
              <w:rPr>
                <w:rFonts w:hint="eastAsia" w:ascii="宋体" w:hAnsi="宋体" w:eastAsia="宋体" w:cs="宋体"/>
                <w:i w:val="0"/>
                <w:iCs w:val="0"/>
                <w:color w:val="auto"/>
                <w:kern w:val="0"/>
                <w:sz w:val="21"/>
                <w:szCs w:val="21"/>
                <w:highlight w:val="none"/>
                <w:u w:val="none"/>
                <w:lang w:val="en-US" w:eastAsia="zh-CN" w:bidi="ar"/>
              </w:rPr>
              <w:t>引用文件及标准</w:t>
            </w:r>
            <w:r>
              <w:rPr>
                <w:rFonts w:hint="eastAsia" w:ascii="宋体" w:hAnsi="宋体" w:cs="宋体"/>
                <w:i w:val="0"/>
                <w:iCs w:val="0"/>
                <w:color w:val="auto"/>
                <w:kern w:val="0"/>
                <w:sz w:val="21"/>
                <w:szCs w:val="21"/>
                <w:highlight w:val="none"/>
                <w:u w:val="none"/>
                <w:lang w:val="en-US" w:eastAsia="zh-CN" w:bidi="ar"/>
              </w:rPr>
              <w:t>名录</w:t>
            </w:r>
            <w:r>
              <w:rPr>
                <w:rFonts w:hint="eastAsia" w:ascii="宋体" w:hAnsi="宋体" w:eastAsia="宋体" w:cs="宋体"/>
                <w:i w:val="0"/>
                <w:iCs w:val="0"/>
                <w:color w:val="auto"/>
                <w:kern w:val="0"/>
                <w:sz w:val="21"/>
                <w:szCs w:val="21"/>
                <w:highlight w:val="none"/>
                <w:u w:val="none"/>
                <w:lang w:val="en-US" w:eastAsia="zh-CN" w:bidi="ar"/>
              </w:rPr>
              <w:t>，方便查询。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6"/>
              <w:keepNext w:val="0"/>
              <w:keepLines w:val="0"/>
              <w:suppressLineNumbers w:val="0"/>
              <w:spacing w:before="0" w:beforeAutospacing="0" w:after="0" w:afterAutospacing="0"/>
              <w:ind w:left="0" w:right="0"/>
              <w:rPr>
                <w:rFonts w:hint="eastAsia" w:ascii="宋体" w:hAnsi="宋体" w:eastAsia="宋体" w:cs="宋体"/>
                <w:color w:val="FF0000"/>
                <w:sz w:val="21"/>
                <w:szCs w:val="21"/>
                <w:highlight w:val="none"/>
              </w:rPr>
            </w:pPr>
            <w:r>
              <w:rPr>
                <w:rFonts w:hint="eastAsia" w:ascii="宋体" w:hAnsi="宋体" w:eastAsia="宋体" w:cs="宋体"/>
                <w:color w:val="FF0000"/>
                <w:kern w:val="0"/>
                <w:sz w:val="21"/>
                <w:szCs w:val="21"/>
                <w:highlight w:val="none"/>
                <w:lang w:val="en-US" w:eastAsia="zh-CN" w:bidi="ar-SA"/>
              </w:rPr>
              <w:t>附表</w:t>
            </w:r>
          </w:p>
        </w:tc>
        <w:tc>
          <w:tcPr>
            <w:tcW w:w="4354" w:type="dxa"/>
            <w:shd w:val="clear" w:color="auto" w:fill="auto"/>
            <w:noWrap w:val="0"/>
            <w:vAlign w:val="center"/>
          </w:tcPr>
          <w:p>
            <w:pPr>
              <w:pStyle w:val="15"/>
              <w:keepNext w:val="0"/>
              <w:keepLines w:val="0"/>
              <w:pageBreakBefore w:val="0"/>
              <w:widowControl/>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SA"/>
              </w:rPr>
            </w:pPr>
          </w:p>
        </w:tc>
        <w:tc>
          <w:tcPr>
            <w:tcW w:w="3891" w:type="dxa"/>
            <w:shd w:val="clear" w:color="auto" w:fill="auto"/>
            <w:noWrap w:val="0"/>
            <w:vAlign w:val="center"/>
          </w:tcPr>
          <w:p>
            <w:pPr>
              <w:pStyle w:val="15"/>
              <w:keepNext w:val="0"/>
              <w:keepLines w:val="0"/>
              <w:pageBreakBefore w:val="0"/>
              <w:widowControl/>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textAlignment w:val="center"/>
              <w:rPr>
                <w:rFonts w:hint="eastAsia" w:ascii="宋体" w:hAnsi="宋体" w:cs="宋体"/>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04" w:type="dxa"/>
            <w:noWrap w:val="0"/>
            <w:vAlign w:val="center"/>
          </w:tcPr>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附表一  城镇社区公共服务设施配置汇总表</w:t>
            </w:r>
          </w:p>
          <w:p>
            <w:pPr>
              <w:pStyle w:val="15"/>
              <w:keepNext w:val="0"/>
              <w:keepLines w:val="0"/>
              <w:pageBreakBefore w:val="0"/>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附表二  乡村社区公共服务设施配置汇总表</w:t>
            </w:r>
          </w:p>
        </w:tc>
        <w:tc>
          <w:tcPr>
            <w:tcW w:w="4354" w:type="dxa"/>
            <w:shd w:val="clear" w:color="auto" w:fill="auto"/>
            <w:noWrap w:val="0"/>
            <w:vAlign w:val="center"/>
          </w:tcPr>
          <w:p>
            <w:pPr>
              <w:pStyle w:val="15"/>
              <w:keepNext w:val="0"/>
              <w:keepLines w:val="0"/>
              <w:pageBreakBefore w:val="0"/>
              <w:widowControl/>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SA"/>
              </w:rPr>
              <w:t>——</w:t>
            </w:r>
          </w:p>
        </w:tc>
        <w:tc>
          <w:tcPr>
            <w:tcW w:w="3891" w:type="dxa"/>
            <w:shd w:val="clear" w:color="auto" w:fill="auto"/>
            <w:noWrap w:val="0"/>
            <w:vAlign w:val="center"/>
          </w:tcPr>
          <w:p>
            <w:pPr>
              <w:pStyle w:val="17"/>
              <w:keepNext w:val="0"/>
              <w:keepLines w:val="0"/>
              <w:suppressLineNumbers w:val="0"/>
              <w:spacing w:before="0" w:beforeAutospacing="0" w:after="0" w:afterAutospacing="0"/>
              <w:ind w:left="0" w:right="0"/>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【新增内容】</w:t>
            </w:r>
          </w:p>
          <w:p>
            <w:pPr>
              <w:pStyle w:val="15"/>
              <w:keepNext w:val="0"/>
              <w:keepLines w:val="0"/>
              <w:pageBreakBefore w:val="0"/>
              <w:widowControl/>
              <w:suppressLineNumbers w:val="0"/>
              <w:kinsoku/>
              <w:wordWrap/>
              <w:overflowPunct/>
              <w:topLinePunct/>
              <w:autoSpaceDE/>
              <w:autoSpaceDN/>
              <w:bidi w:val="0"/>
              <w:snapToGrid w:val="0"/>
              <w:spacing w:before="0" w:beforeAutospacing="0" w:after="0" w:afterAutospacing="0" w:line="240" w:lineRule="auto"/>
              <w:ind w:left="0" w:leftChars="0" w:right="0" w:rightChars="0" w:firstLine="0" w:firstLineChars="0"/>
              <w:jc w:val="both"/>
              <w:textAlignment w:val="center"/>
              <w:rPr>
                <w:rFonts w:hint="eastAsia" w:ascii="宋体" w:hAnsi="宋体" w:cs="宋体"/>
                <w:i w:val="0"/>
                <w:iCs w:val="0"/>
                <w:color w:val="auto"/>
                <w:kern w:val="0"/>
                <w:sz w:val="21"/>
                <w:szCs w:val="21"/>
                <w:highlight w:val="none"/>
                <w:u w:val="none"/>
                <w:lang w:val="en-US" w:eastAsia="zh-CN" w:bidi="ar"/>
              </w:rPr>
            </w:pPr>
            <w:r>
              <w:rPr>
                <w:rFonts w:hint="eastAsia"/>
              </w:rPr>
              <w:t>增加附表便于查阅。</w:t>
            </w:r>
          </w:p>
        </w:tc>
      </w:tr>
    </w:tbl>
    <w:p>
      <w:pPr>
        <w:bidi w:val="0"/>
        <w:jc w:val="center"/>
        <w:rPr>
          <w:rFonts w:hint="default" w:ascii="黑体" w:hAnsi="黑体" w:eastAsia="黑体" w:cs="黑体"/>
          <w:sz w:val="36"/>
          <w:szCs w:val="36"/>
          <w:lang w:val="en-US" w:eastAsia="zh-CN"/>
        </w:rPr>
      </w:pPr>
    </w:p>
    <w:bookmarkEnd w:id="12"/>
    <w:bookmarkEnd w:id="16"/>
    <w:bookmarkEnd w:id="17"/>
    <w:bookmarkEnd w:id="18"/>
    <w:bookmarkEnd w:id="19"/>
    <w:p>
      <w:pPr>
        <w:rPr>
          <w:rFonts w:hint="default"/>
          <w:lang w:val="en-US" w:eastAsia="zh-CN"/>
        </w:rPr>
      </w:pPr>
    </w:p>
    <w:sectPr>
      <w:footerReference r:id="rId6" w:type="default"/>
      <w:pgSz w:w="16838" w:h="11906" w:orient="landscape"/>
      <w:pgMar w:top="1440" w:right="1800" w:bottom="1440" w:left="1800" w:header="851" w:footer="992" w:gutter="0"/>
      <w:pgNumType w:fmt="decimal"/>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FZFangSong-Z02">
    <w:panose1 w:val="02000000000000000000"/>
    <w:charset w:val="86"/>
    <w:family w:val="auto"/>
    <w:pitch w:val="default"/>
    <w:sig w:usb0="00000001" w:usb1="08000000" w:usb2="00000000" w:usb3="00000000" w:csb0="00040000" w:csb1="00000000"/>
  </w:font>
  <w:font w:name="FZSJ-FANGSGBTTOT">
    <w:altName w:val="Noto Serif CJK JP"/>
    <w:panose1 w:val="02000000000000000000"/>
    <w:charset w:val="86"/>
    <w:family w:val="auto"/>
    <w:pitch w:val="default"/>
    <w:sig w:usb0="00000000" w:usb1="00000000" w:usb2="00000012" w:usb3="00000000" w:csb0="00040001" w:csb1="00000000"/>
  </w:font>
  <w:font w:name="FangSong_GB2312">
    <w:altName w:val="方正仿宋_GBK"/>
    <w:panose1 w:val="02010609030101010101"/>
    <w:charset w:val="86"/>
    <w:family w:val="modern"/>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国标黑体">
    <w:panose1 w:val="02000500000000000000"/>
    <w:charset w:val="86"/>
    <w:family w:val="auto"/>
    <w:pitch w:val="default"/>
    <w:sig w:usb0="00000001" w:usb1="08000000" w:usb2="00000000" w:usb3="00000000" w:csb0="00060007" w:csb1="00000000"/>
  </w:font>
  <w:font w:name="FZXiaoBiaoSong-B05">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FZHei-B01">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国标宋体">
    <w:panose1 w:val="02000500000000000000"/>
    <w:charset w:val="86"/>
    <w:family w:val="auto"/>
    <w:pitch w:val="default"/>
    <w:sig w:usb0="00000001" w:usb1="28000000" w:usb2="00000000" w:usb3="00000000" w:csb0="00060007"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Noto Serif CJK JP">
    <w:panose1 w:val="02020400000000000000"/>
    <w:charset w:val="86"/>
    <w:family w:val="auto"/>
    <w:pitch w:val="default"/>
    <w:sig w:usb0="3000008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w:t>
                          </w: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7"/>
                    </w:pPr>
                    <w:r>
                      <w:t>—</w:t>
                    </w: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r>
                      <w:t>—</w:t>
                    </w:r>
                  </w:p>
                </w:txbxContent>
              </v:textbox>
            </v:shape>
          </w:pict>
        </mc:Fallback>
      </mc:AlternateConten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7"/>
                          </w:pPr>
                          <w:r>
                            <w:t>—</w:t>
                          </w: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4</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r>
                            <w:t>—</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6pebnPAAAABQEAAA8AAAAAAAAAAQAgAAAAOAAAAGRycy9kb3ducmV2Lnht&#10;bFBLAQIUABQAAAAIAIdO4kCqizKUswEAAFIDAAAOAAAAAAAAAAEAIAAAADQBAABkcnMvZTJvRG9j&#10;LnhtbFBLBQYAAAAABgAGAFkBAABZBQAAAAA=&#10;">
              <v:fill on="f" focussize="0,0"/>
              <v:stroke on="f"/>
              <v:imagedata o:title=""/>
              <o:lock v:ext="edit" aspectratio="f"/>
              <v:textbox inset="0mm,0mm,0mm,0mm" style="mso-fit-shape-to-text:t;">
                <w:txbxContent>
                  <w:p>
                    <w:pPr>
                      <w:pStyle w:val="7"/>
                    </w:pPr>
                    <w:r>
                      <w:t>—</w:t>
                    </w: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4</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6BC12"/>
    <w:multiLevelType w:val="singleLevel"/>
    <w:tmpl w:val="8436BC12"/>
    <w:lvl w:ilvl="0" w:tentative="0">
      <w:start w:val="1"/>
      <w:numFmt w:val="decimal"/>
      <w:suff w:val="space"/>
      <w:lvlText w:val="%1."/>
      <w:lvlJc w:val="left"/>
    </w:lvl>
  </w:abstractNum>
  <w:abstractNum w:abstractNumId="1">
    <w:nsid w:val="AC988269"/>
    <w:multiLevelType w:val="singleLevel"/>
    <w:tmpl w:val="AC988269"/>
    <w:lvl w:ilvl="0" w:tentative="0">
      <w:start w:val="1"/>
      <w:numFmt w:val="decimal"/>
      <w:suff w:val="space"/>
      <w:lvlText w:val="%1."/>
      <w:lvlJc w:val="left"/>
    </w:lvl>
  </w:abstractNum>
  <w:abstractNum w:abstractNumId="2">
    <w:nsid w:val="C27A4FA2"/>
    <w:multiLevelType w:val="singleLevel"/>
    <w:tmpl w:val="C27A4FA2"/>
    <w:lvl w:ilvl="0" w:tentative="0">
      <w:start w:val="2"/>
      <w:numFmt w:val="chineseCountingThousand"/>
      <w:suff w:val="nothing"/>
      <w:lvlText w:val="%1、"/>
      <w:lvlJc w:val="left"/>
      <w:pPr>
        <w:tabs>
          <w:tab w:val="left" w:pos="420"/>
        </w:tabs>
        <w:ind w:left="0" w:leftChars="0" w:firstLine="0" w:firstLineChars="0"/>
      </w:pPr>
      <w:rPr>
        <w:rFonts w:hint="eastAsia"/>
      </w:rPr>
    </w:lvl>
  </w:abstractNum>
  <w:abstractNum w:abstractNumId="3">
    <w:nsid w:val="26BAB259"/>
    <w:multiLevelType w:val="singleLevel"/>
    <w:tmpl w:val="26BAB259"/>
    <w:lvl w:ilvl="0" w:tentative="0">
      <w:start w:val="1"/>
      <w:numFmt w:val="decimal"/>
      <w:suff w:val="space"/>
      <w:lvlText w:val="%1."/>
      <w:lvlJc w:val="left"/>
    </w:lvl>
  </w:abstractNum>
  <w:abstractNum w:abstractNumId="4">
    <w:nsid w:val="4CB770BF"/>
    <w:multiLevelType w:val="singleLevel"/>
    <w:tmpl w:val="4CB770BF"/>
    <w:lvl w:ilvl="0" w:tentative="0">
      <w:start w:val="1"/>
      <w:numFmt w:val="chineseCountingThousand"/>
      <w:suff w:val="nothing"/>
      <w:lvlText w:val="%1、"/>
      <w:lvlJc w:val="left"/>
      <w:pPr>
        <w:tabs>
          <w:tab w:val="left" w:pos="420"/>
        </w:tabs>
        <w:ind w:left="0" w:leftChars="0" w:firstLine="0" w:firstLineChars="0"/>
      </w:pPr>
      <w:rPr>
        <w:rFonts w:hint="eastAsi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743B5"/>
    <w:rsid w:val="028311D2"/>
    <w:rsid w:val="08A755D5"/>
    <w:rsid w:val="0B77C531"/>
    <w:rsid w:val="0BB35A1E"/>
    <w:rsid w:val="0C776A4C"/>
    <w:rsid w:val="0DD34156"/>
    <w:rsid w:val="0ED067DC"/>
    <w:rsid w:val="0F8533AC"/>
    <w:rsid w:val="0FC11221"/>
    <w:rsid w:val="10341841"/>
    <w:rsid w:val="108F3FC5"/>
    <w:rsid w:val="111331E7"/>
    <w:rsid w:val="12CD6206"/>
    <w:rsid w:val="141E7E6C"/>
    <w:rsid w:val="146C1073"/>
    <w:rsid w:val="15051099"/>
    <w:rsid w:val="18351C95"/>
    <w:rsid w:val="186333C7"/>
    <w:rsid w:val="19B4308D"/>
    <w:rsid w:val="1A7673F8"/>
    <w:rsid w:val="1B974A15"/>
    <w:rsid w:val="1CA23671"/>
    <w:rsid w:val="1CD65C5D"/>
    <w:rsid w:val="1FAC68CA"/>
    <w:rsid w:val="21153D48"/>
    <w:rsid w:val="2260742D"/>
    <w:rsid w:val="23F1788A"/>
    <w:rsid w:val="284D528F"/>
    <w:rsid w:val="286B34B1"/>
    <w:rsid w:val="2A9A007E"/>
    <w:rsid w:val="2B8E1990"/>
    <w:rsid w:val="2BB87359"/>
    <w:rsid w:val="2C3C2E87"/>
    <w:rsid w:val="2CBC4CAB"/>
    <w:rsid w:val="2DD8786E"/>
    <w:rsid w:val="2F08568C"/>
    <w:rsid w:val="2FC50656"/>
    <w:rsid w:val="330D574F"/>
    <w:rsid w:val="357FBEBB"/>
    <w:rsid w:val="3585424D"/>
    <w:rsid w:val="35D72EE3"/>
    <w:rsid w:val="369EDFA2"/>
    <w:rsid w:val="36BC6106"/>
    <w:rsid w:val="36FB0632"/>
    <w:rsid w:val="37130E6F"/>
    <w:rsid w:val="37645C9B"/>
    <w:rsid w:val="39F07CBA"/>
    <w:rsid w:val="3DBD4357"/>
    <w:rsid w:val="3E352AE6"/>
    <w:rsid w:val="40733D94"/>
    <w:rsid w:val="413330BD"/>
    <w:rsid w:val="41651358"/>
    <w:rsid w:val="422C694D"/>
    <w:rsid w:val="425D13D7"/>
    <w:rsid w:val="443B77D7"/>
    <w:rsid w:val="44F41C55"/>
    <w:rsid w:val="451C0A57"/>
    <w:rsid w:val="471065F4"/>
    <w:rsid w:val="4944592C"/>
    <w:rsid w:val="49AE6BE6"/>
    <w:rsid w:val="4AB66668"/>
    <w:rsid w:val="4B011B9E"/>
    <w:rsid w:val="4BC2740F"/>
    <w:rsid w:val="4BFE4852"/>
    <w:rsid w:val="4CEC4D57"/>
    <w:rsid w:val="4D92310A"/>
    <w:rsid w:val="4FF10E3F"/>
    <w:rsid w:val="50B67A53"/>
    <w:rsid w:val="53F434C8"/>
    <w:rsid w:val="56503B63"/>
    <w:rsid w:val="56F65448"/>
    <w:rsid w:val="57792DAF"/>
    <w:rsid w:val="5B196AD3"/>
    <w:rsid w:val="5B7ED1D3"/>
    <w:rsid w:val="5C736E9E"/>
    <w:rsid w:val="5D7D25F1"/>
    <w:rsid w:val="5D813F61"/>
    <w:rsid w:val="5E970848"/>
    <w:rsid w:val="5EBB2AF1"/>
    <w:rsid w:val="5F3841F2"/>
    <w:rsid w:val="60065292"/>
    <w:rsid w:val="60200102"/>
    <w:rsid w:val="60EC4488"/>
    <w:rsid w:val="613E3F16"/>
    <w:rsid w:val="61DA2A4C"/>
    <w:rsid w:val="6271300E"/>
    <w:rsid w:val="640970FF"/>
    <w:rsid w:val="66145893"/>
    <w:rsid w:val="66412B01"/>
    <w:rsid w:val="68837A86"/>
    <w:rsid w:val="6BD35F2D"/>
    <w:rsid w:val="6C123F77"/>
    <w:rsid w:val="6C6E4DF2"/>
    <w:rsid w:val="6EE47C64"/>
    <w:rsid w:val="6F7F69E5"/>
    <w:rsid w:val="742127DC"/>
    <w:rsid w:val="743326A2"/>
    <w:rsid w:val="743D707D"/>
    <w:rsid w:val="75D75DE4"/>
    <w:rsid w:val="781F6CA4"/>
    <w:rsid w:val="79674B9C"/>
    <w:rsid w:val="79BD656A"/>
    <w:rsid w:val="7B155886"/>
    <w:rsid w:val="7B2B004F"/>
    <w:rsid w:val="7B3F7AEB"/>
    <w:rsid w:val="7B973A2E"/>
    <w:rsid w:val="7D7F3C48"/>
    <w:rsid w:val="7DF720E6"/>
    <w:rsid w:val="7E970E20"/>
    <w:rsid w:val="9FF57EEA"/>
    <w:rsid w:val="A736BC82"/>
    <w:rsid w:val="ABBF59E4"/>
    <w:rsid w:val="AFFD117B"/>
    <w:rsid w:val="B0FF9881"/>
    <w:rsid w:val="B6EF7F71"/>
    <w:rsid w:val="C339E848"/>
    <w:rsid w:val="C69D42D1"/>
    <w:rsid w:val="DF35A991"/>
    <w:rsid w:val="E1EF250E"/>
    <w:rsid w:val="E3E5E602"/>
    <w:rsid w:val="ED7DFCA5"/>
    <w:rsid w:val="F3B35481"/>
    <w:rsid w:val="F76F0A55"/>
    <w:rsid w:val="FAEEFCEB"/>
    <w:rsid w:val="FF3B50D5"/>
    <w:rsid w:val="FFB76ED0"/>
    <w:rsid w:val="FFDF31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jc w:val="both"/>
    </w:pPr>
    <w:rPr>
      <w:rFonts w:ascii="Calibri" w:hAnsi="Calibri" w:eastAsia="FZFangSong-Z02" w:cs="Times New Roman"/>
      <w:kern w:val="2"/>
      <w:sz w:val="32"/>
      <w:szCs w:val="3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3" w:lineRule="auto"/>
      <w:ind w:left="0" w:leftChars="0"/>
      <w:outlineLvl w:val="1"/>
    </w:pPr>
    <w:rPr>
      <w:rFonts w:ascii="Arial" w:hAnsi="Arial" w:eastAsia="FZSJ-FANGSGBTTOT"/>
      <w:b/>
    </w:rPr>
  </w:style>
  <w:style w:type="paragraph" w:styleId="4">
    <w:name w:val="heading 3"/>
    <w:basedOn w:val="1"/>
    <w:next w:val="1"/>
    <w:unhideWhenUsed/>
    <w:qFormat/>
    <w:uiPriority w:val="0"/>
    <w:pPr>
      <w:keepNext w:val="0"/>
      <w:keepLines w:val="0"/>
      <w:widowControl w:val="0"/>
      <w:overflowPunct w:val="0"/>
      <w:topLinePunct/>
      <w:spacing w:beforeLines="0" w:beforeAutospacing="0" w:afterLines="0" w:afterAutospacing="0" w:line="240" w:lineRule="auto"/>
      <w:jc w:val="both"/>
      <w:outlineLvl w:val="2"/>
    </w:pPr>
    <w:rPr>
      <w:rFonts w:ascii="Times New Roman" w:eastAsia="FZFangSong-Z02" w:cs="Times New Roman" w:hAnsiTheme="minorHAnsi"/>
      <w:kern w:val="2"/>
      <w:sz w:val="32"/>
      <w:szCs w:val="32"/>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spacing w:afterLines="0" w:line="580" w:lineRule="exact"/>
      <w:ind w:firstLine="868" w:firstLineChars="200"/>
    </w:pPr>
    <w:rPr>
      <w:rFonts w:ascii="Times New Roman" w:hAnsi="Times New Roma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nhideWhenUsed/>
    <w:qFormat/>
    <w:uiPriority w:val="99"/>
    <w:pP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Emphasis"/>
    <w:basedOn w:val="12"/>
    <w:qFormat/>
    <w:uiPriority w:val="0"/>
    <w:rPr>
      <w:i/>
    </w:rPr>
  </w:style>
  <w:style w:type="paragraph" w:customStyle="1" w:styleId="15">
    <w:name w:val="表格"/>
    <w:basedOn w:val="1"/>
    <w:next w:val="1"/>
    <w:qFormat/>
    <w:uiPriority w:val="0"/>
    <w:pPr>
      <w:topLinePunct/>
      <w:ind w:firstLine="0" w:firstLineChars="0"/>
      <w:jc w:val="center"/>
    </w:pPr>
    <w:rPr>
      <w:rFonts w:ascii="Times New Roman" w:hAnsi="Times New Roman" w:eastAsia="宋体" w:cs="Times New Roman"/>
      <w:kern w:val="0"/>
      <w:sz w:val="21"/>
      <w:szCs w:val="24"/>
    </w:rPr>
  </w:style>
  <w:style w:type="paragraph" w:customStyle="1" w:styleId="16">
    <w:name w:val="表内容"/>
    <w:basedOn w:val="1"/>
    <w:qFormat/>
    <w:uiPriority w:val="0"/>
    <w:pPr>
      <w:spacing w:line="240" w:lineRule="auto"/>
      <w:ind w:firstLine="0" w:firstLineChars="0"/>
      <w:jc w:val="center"/>
    </w:pPr>
    <w:rPr>
      <w:sz w:val="18"/>
    </w:rPr>
  </w:style>
  <w:style w:type="paragraph" w:customStyle="1" w:styleId="17">
    <w:name w:val="修订说明"/>
    <w:basedOn w:val="16"/>
    <w:next w:val="16"/>
    <w:qFormat/>
    <w:uiPriority w:val="0"/>
    <w:pPr>
      <w:jc w:val="left"/>
    </w:pPr>
    <w:rPr>
      <w:rFonts w:ascii="宋体" w:hAnsi="宋体"/>
      <w:bCs/>
      <w:color w:val="000000" w:themeColor="text1"/>
      <w:sz w:val="21"/>
      <w:szCs w:val="21"/>
      <w14:textFill>
        <w14:solidFill>
          <w14:schemeClr w14:val="tx1"/>
        </w14:solidFill>
      </w14:textFill>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空格2文字"/>
    <w:qFormat/>
    <w:uiPriority w:val="0"/>
    <w:pPr>
      <w:widowControl w:val="0"/>
      <w:autoSpaceDE w:val="0"/>
      <w:autoSpaceDN w:val="0"/>
      <w:spacing w:line="540" w:lineRule="exact"/>
      <w:ind w:firstLine="200" w:firstLineChars="200"/>
      <w:jc w:val="both"/>
    </w:pPr>
    <w:rPr>
      <w:rFonts w:ascii="FangSong_GB2312" w:hAnsi="FangSong_GB2312" w:eastAsia="宋体" w:cs="FangSong_GB2312"/>
      <w:sz w:val="28"/>
      <w:szCs w:val="28"/>
      <w:lang w:val="en-US" w:eastAsia="zh-CN" w:bidi="ar-SA"/>
    </w:rPr>
  </w:style>
  <w:style w:type="paragraph" w:customStyle="1" w:styleId="20">
    <w:name w:val="表头"/>
    <w:basedOn w:val="1"/>
    <w:qFormat/>
    <w:uiPriority w:val="0"/>
    <w:pPr>
      <w:spacing w:before="156"/>
      <w:ind w:firstLine="0" w:firstLineChars="0"/>
      <w:jc w:val="center"/>
    </w:pPr>
    <w:rPr>
      <w:rFonts w:ascii="黑体" w:hAnsi="黑体" w:eastAsia="仿宋_GB2312" w:cstheme="minorBidi"/>
      <w:b/>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16531</Words>
  <Characters>18000</Characters>
  <Lines>1</Lines>
  <Paragraphs>1</Paragraphs>
  <TotalTime>0</TotalTime>
  <ScaleCrop>false</ScaleCrop>
  <LinksUpToDate>false</LinksUpToDate>
  <CharactersWithSpaces>18092</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2025-09-16T17:46:00Z</dcterms:created>
  <dc:creator>朱浩辰</dc:creator>
  <cp:lastModifiedBy>三哥</cp:lastModifiedBy>
  <dcterms:modified xsi:type="dcterms:W3CDTF">2026-03-02T10:31:01Z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B322A3E3DCB74848B012F7FABDAB70EC_13</vt:lpwstr>
  </property>
  <property fmtid="{D5CDD505-2E9C-101B-9397-08002B2CF9AE}" pid="4" name="KSOTemplateDocerSaveRecord">
    <vt:lpwstr>eyJoZGlkIjoiYjg2Y2Y4MjYxM2FkZGJjMjVjNzM1YzQ5ODg1NzhhZTQiLCJ1c2VySWQiOiI1OTMxODkyMzYifQ==</vt:lpwstr>
  </property>
</Properties>
</file>