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b w:val="0"/>
          <w:color w:val="auto"/>
          <w:sz w:val="44"/>
          <w:szCs w:val="44"/>
        </w:rPr>
        <w:t>矿区生态修复验收规</w:t>
      </w:r>
      <w:r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  <w:lang w:val="en-US" w:eastAsia="zh-CN"/>
        </w:rPr>
        <w:t>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一、适用</w:t>
      </w:r>
      <w:r>
        <w:rPr>
          <w:rFonts w:ascii="黑体" w:hAnsi="黑体" w:eastAsia="黑体" w:cs="黑体"/>
          <w:color w:val="auto"/>
          <w:sz w:val="32"/>
          <w:szCs w:val="32"/>
        </w:rPr>
        <w:t>范围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本规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适用于自治区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范围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内依法取得采矿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权的矿山矿区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生态修复验收工作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明确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生产与闭坑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矿山生态修复验收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的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依据、分类、申请条件、程序、内容、成果与档案管理等要求。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二、验收依据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（一）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经审查通过的《矿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区生态修复方案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或《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矿山地质环境保护与土地复垦方案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》；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生态修复国家标准、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地方标准及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行业规范；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（三）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报备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《矿区生态修复年度计划》（以下简称《年度计划》）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（四）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生态修复相关设计文件、施工合同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等资料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三、验收分类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生态修复验收分为阶段性验收和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整体验收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两类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ascii="华文楷体" w:hAnsi="华文楷体" w:eastAsia="华文楷体" w:cs="华文楷体"/>
          <w:b/>
          <w:bCs/>
          <w:color w:val="000000"/>
          <w:sz w:val="32"/>
          <w:szCs w:val="32"/>
        </w:rPr>
        <w:t>阶段性验收</w:t>
      </w: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针对已完成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矿区分区、分期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生态修复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内容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进行的专项验收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由县级自然资源主管部门组织实施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（二）整体验收。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针对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已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完成矿区内全部生态修复内容进行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的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整体验收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ascii="黑体" w:hAnsi="黑体" w:eastAsia="黑体" w:cs="黑体"/>
          <w:color w:val="auto"/>
          <w:sz w:val="32"/>
          <w:szCs w:val="32"/>
        </w:rPr>
        <w:t>验收条件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矿区生态修复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申请阶段性验收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或整体验收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，需满足以下条件：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（一）方案合规。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按要求编制并报批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《方案》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；重新编制或修订的，按要求完成并通过审查；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（二）工程完工。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严格按照批准的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《方案》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《年度计划》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，完成申请验收范围内的全部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矿区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生态修复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任务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（三）质量达标。</w:t>
      </w:r>
      <w:r>
        <w:rPr>
          <w:rFonts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矿区生态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修复质量、效果符合设计要求及国家、行业相关验收标准；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（四）档案完整。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已建立规范、完整的矿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生态修复专项档案，落实 “一矿一档” 管理要求。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ascii="黑体" w:hAnsi="黑体" w:eastAsia="黑体" w:cs="黑体"/>
          <w:color w:val="auto"/>
          <w:sz w:val="32"/>
          <w:szCs w:val="32"/>
        </w:rPr>
        <w:t>验收程序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矿山生态修复验收按以下程序组织实施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（一）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  <w:t>组织申请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阶段性验收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由县级自然资源主管部门组织验收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eastAsia="zh-CN"/>
        </w:rPr>
        <w:t>整体验收经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县级自然资源主管部门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初步验收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后，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由采矿权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eastAsia="zh-CN"/>
        </w:rPr>
        <w:t>登记机关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val="en-US" w:eastAsia="zh-CN"/>
        </w:rPr>
        <w:t>组织终验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（二）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受理与筹备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eastAsia="zh-CN"/>
        </w:rPr>
        <w:t>有批准权限的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eastAsia="zh-CN"/>
        </w:rPr>
        <w:t>自然资源主管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highlight w:val="none"/>
        </w:rPr>
        <w:t>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门会同生态环境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林业和草原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有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关部门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组织验收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并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邀请地质、土地、林草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、生态环境、水土保持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方面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专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组成验收组，阶段性验收和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整体验收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需在60个工作日内完成验收。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</w:rPr>
        <w:t>（三）</w:t>
      </w: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  <w:lang w:eastAsia="zh-CN"/>
        </w:rPr>
        <w:t>开展验收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验收组通过现场踏勘、资料查阅等方式，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对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修复工程完成情况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、矿区生态修复费用提取使用情况、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工程质量和生态效果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等进行查验与核实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（四）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  <w:t>出具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验收结论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验收合格的，由组织验收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的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部门出具验收通过意见；验收不合格的，出具书面整改通知书，明确整改内容、整改标准和整改时限，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采矿权人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完成整改后重新申请验收。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（五）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公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  <w:t>布验收结果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验收结果通过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级自然资源主管部门门户网站向社会公布，没有门户网站的可通过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级人民政府官网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向社会公布，接受社会监督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ascii="黑体" w:hAnsi="黑体" w:eastAsia="黑体" w:cs="黑体"/>
          <w:color w:val="auto"/>
          <w:sz w:val="32"/>
          <w:szCs w:val="32"/>
        </w:rPr>
        <w:t>验收内容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生态修复验收应重点对以下内容进行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查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（一）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合法合规性审查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查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矿区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生态修复工作是否符合国家法律法规及相关政策要求；修复后土地利用是否符合国土空间规划、生态修复规划等管控要求；验收范围内土地地类清晰、权属无争议。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（二）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工程完成情况核查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核对</w:t>
      </w:r>
      <w:r>
        <w:rPr>
          <w:rFonts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矿区生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态修复设计工程量与实际完成量的一致性，核查工程建设内容是否与批准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一致。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（三）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工程质量与效果评估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检查地质灾害治理、土地复垦、植被恢复等分项工程质量；实地评估植被成活率、植被覆盖度等核心生态修复效果指标。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（四）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  <w:highlight w:val="none"/>
        </w:rPr>
        <w:t>地类面积与质量核定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依据国土变更调查成果，核定复垦修复前后土地地类、面积变化情况；复垦修复为耕地的，评定耕地质量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等级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</w:rPr>
        <w:t>；复垦修复为园地、林地、草地的，按标准评定相应土地质量。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（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</w:rPr>
        <w:t>）</w:t>
      </w:r>
      <w:r>
        <w:rPr>
          <w:rFonts w:ascii="华文楷体" w:hAnsi="华文楷体" w:eastAsia="华文楷体" w:cs="华文楷体"/>
          <w:b/>
          <w:bCs/>
          <w:color w:val="auto"/>
          <w:sz w:val="32"/>
          <w:szCs w:val="32"/>
        </w:rPr>
        <w:t>档案资料审查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检查矿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t>生态修复专项档案的完整性、规范性、真实性，核查资料是否按要求归档。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</w:rPr>
        <w:br w:type="page"/>
      </w:r>
      <w:r>
        <w:rPr>
          <w:rFonts w:hint="eastAsia" w:ascii="国标黑体" w:hAnsi="国标黑体" w:eastAsia="国标黑体" w:cs="国标黑体"/>
          <w:b w:val="0"/>
          <w:bCs w:val="0"/>
          <w:szCs w:val="32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40"/>
        </w:rPr>
        <w:t>在建矿山生态修复验收意见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40"/>
          <w:lang w:eastAsia="zh-CN"/>
        </w:rPr>
        <w:t>表</w:t>
      </w:r>
    </w:p>
    <w:tbl>
      <w:tblPr>
        <w:tblStyle w:val="2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143"/>
        <w:gridCol w:w="188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125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采矿许可证号</w:t>
            </w:r>
          </w:p>
        </w:tc>
        <w:tc>
          <w:tcPr>
            <w:tcW w:w="148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采矿权人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矿山地址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1258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验收日期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49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验收范围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（公顷）</w:t>
            </w: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（含矢量数据）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49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验收类型</w:t>
            </w: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 xml:space="preserve"> 阶段性验收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方正仿宋_GBK" w:hAnsi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  <w:t>整体验收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149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验收情况概述</w:t>
            </w: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/>
              <w:ind w:left="0" w:leftChars="0" w:firstLine="96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49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15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验收结论</w:t>
            </w: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通过验收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经现场核查和会议评审，验收组认为：该矿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（□阶段性 □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总体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）生态修复已按批准的方案和相关规范要求完成，工程质量合格，生态修复效果达到设计要求，资料齐全，同意通过验收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149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15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 不通过验收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经核查，该矿区（□阶段性 □</w:t>
            </w:r>
            <w:r>
              <w:rPr>
                <w:rFonts w:hint="eastAsia" w:ascii="方正仿宋_GBK" w:hAnsi="方正仿宋_GBK" w:cs="方正仿宋_GBK"/>
                <w:sz w:val="24"/>
                <w:szCs w:val="24"/>
                <w:lang w:eastAsia="zh-CN"/>
              </w:rPr>
              <w:t>总体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）生态修复存在以下问题，未达到验收标准，不予通过验收：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exact"/>
          <w:jc w:val="center"/>
        </w:trPr>
        <w:tc>
          <w:tcPr>
            <w:tcW w:w="1149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15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存在的主要问题：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整改要求：请采矿权人于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日前完成上述问题整改，整改完成后重新申请验收。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149" w:type="pct"/>
            <w:vMerge w:val="restar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15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验收组签名</w:t>
            </w: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组长：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49" w:type="pct"/>
            <w:vMerge w:val="continue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15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5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成员：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textAlignment w:val="auto"/>
        <w:rPr>
          <w:rFonts w:hint="eastAsia" w:ascii="国标黑体" w:hAnsi="国标黑体" w:eastAsia="国标黑体" w:cs="国标黑体"/>
          <w:b w:val="0"/>
          <w:bCs w:val="0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国标黑体" w:hAnsi="国标黑体" w:eastAsia="国标黑体" w:cs="国标黑体"/>
          <w:b w:val="0"/>
          <w:bCs w:val="0"/>
          <w:szCs w:val="32"/>
          <w:lang w:val="en-US" w:eastAsia="zh-CN"/>
        </w:rPr>
        <w:t>在建矿山生态修复验收报告编制大纲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项目基本情况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全面介绍项目的基础信息。应</w:t>
      </w:r>
      <w:r>
        <w:rPr>
          <w:rFonts w:hint="eastAsia" w:ascii="方正仿宋_GBK" w:cs="Times New Roman"/>
          <w:color w:val="000000"/>
          <w:sz w:val="32"/>
          <w:szCs w:val="32"/>
          <w:lang w:eastAsia="zh-CN"/>
        </w:rPr>
        <w:t>说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明矿山名</w:t>
      </w:r>
      <w:bookmarkStart w:id="0" w:name="_GoBack"/>
      <w:bookmarkEnd w:id="0"/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称、采矿许可证号、采矿权人、地理位置、矿区面积、开采矿种及方式等基本信息。同时，需说明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《矿区生态修复方案》或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《矿山地质环境保护与土地复垦方案》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eastAsia="zh-CN"/>
        </w:rPr>
        <w:t>及《矿区生态修复年度计划》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的编制审查情况（包括审查机关、文号、时间），并明确本次验收对应的是第几个修复周期或阶段。修复范围部分，应描述本次验收涉及的具体区域位置</w:t>
      </w:r>
      <w:r>
        <w:rPr>
          <w:rFonts w:hint="eastAsia" w:ascii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cs="Times New Roman"/>
          <w:color w:val="auto"/>
          <w:sz w:val="32"/>
          <w:szCs w:val="32"/>
          <w:lang w:val="en-US" w:eastAsia="zh-CN"/>
        </w:rPr>
        <w:t>提供矢量数据</w:t>
      </w:r>
      <w:r>
        <w:rPr>
          <w:rFonts w:hint="eastAsia" w:ascii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</w:rPr>
        <w:t>、图斑编号，以及修复总面积（按露天采场、工业广场、废渣堆等用地类型分述）。最后，需简要说明依据批准的方案，本次应完成的修复目标任务及工程量。</w:t>
      </w:r>
    </w:p>
    <w:p>
      <w:pPr>
        <w:spacing w:line="600" w:lineRule="exact"/>
        <w:ind w:firstLine="640"/>
        <w:jc w:val="left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kern w:val="0"/>
          <w:sz w:val="32"/>
          <w:szCs w:val="32"/>
        </w:rPr>
        <w:t>验收依据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完整列明本次验收依据的所有文件。</w:t>
      </w:r>
    </w:p>
    <w:p>
      <w:pPr>
        <w:spacing w:line="600" w:lineRule="exact"/>
        <w:ind w:firstLine="640"/>
        <w:jc w:val="left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kern w:val="0"/>
          <w:sz w:val="32"/>
          <w:szCs w:val="32"/>
        </w:rPr>
        <w:t>验收过程与方法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详细记录验收的组织实施过程。应写明验收组织单位、验收起止时间，并列明验收组成员名单（包括姓名、单位、职称/专业领域）。验收程序部分，应按时间顺序描述从申请受理、资料预审、现场查验到会议评审、意见形成的完整过程。验收方法部分，应分别说明现场查验的方法（如何核实工程量、抽检工程质量、评估修复效果）、资料审核的方法（审核哪些资料、如何判断规范性），以及抽样检测的情况（抽检点位数量、检测项目、检测方法）。</w:t>
      </w:r>
    </w:p>
    <w:p>
      <w:pPr>
        <w:spacing w:line="600" w:lineRule="exact"/>
        <w:ind w:firstLine="640"/>
        <w:jc w:val="left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、工程</w:t>
      </w:r>
      <w:r>
        <w:rPr>
          <w:rFonts w:hint="default" w:ascii="黑体" w:hAnsi="黑体" w:eastAsia="黑体" w:cs="黑体"/>
          <w:kern w:val="0"/>
          <w:sz w:val="32"/>
          <w:szCs w:val="32"/>
        </w:rPr>
        <w:t>评价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对各项修复工程的质量进行分项评价。应按地形重塑工程、土壤重构工程、植被重建工程、配套工程（截排水、挡护、监测等）分别描述。每个分项应说明设计要求和实际完成情况，并结合现场查验、检测数据等对质量是否达标作出评价。地形重塑需关注平整度、坡度、稳定性；土壤重构需关注覆土厚度、土壤理化指标及环境质量；植被重建需关注成活率、覆盖度、生长状况；配套工程需关注尺寸、位置、稳定性。最后，需对复垦修复前后的地类面积进行核定，说明依据国土变更调查成果核定的前后地类面积变化，并对耕地、园地、林地、草地等质量等别作出评定。</w:t>
      </w:r>
    </w:p>
    <w:p>
      <w:pPr>
        <w:spacing w:line="600" w:lineRule="exact"/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</w:t>
      </w:r>
      <w:r>
        <w:rPr>
          <w:rFonts w:hint="default" w:ascii="黑体" w:hAnsi="黑体" w:eastAsia="黑体" w:cs="黑体"/>
          <w:kern w:val="0"/>
          <w:sz w:val="32"/>
          <w:szCs w:val="32"/>
        </w:rPr>
        <w:t>矿区生态修复费用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提取使用</w:t>
      </w:r>
      <w:r>
        <w:rPr>
          <w:rFonts w:hint="default" w:ascii="黑体" w:hAnsi="黑体" w:eastAsia="黑体" w:cs="黑体"/>
          <w:kern w:val="0"/>
          <w:sz w:val="32"/>
          <w:szCs w:val="32"/>
        </w:rPr>
        <w:t>情况核查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对矿区生态修复费用的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提取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和使用情况进行核查。应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说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明采矿权人是否按规定设立账户，提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取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的依据和标准，截至验收日的累计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提取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金额，以及本阶段或周期的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提取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情况。费用使用部分，应说明本次验收范围内修复工程的总投入，按工程内容分列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费用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使用明细，并附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费用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拨付凭证核查情况。最后，应对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费用</w:t>
      </w:r>
      <w:r>
        <w:rPr>
          <w:rFonts w:hint="eastAsia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管理是否规范、是否专款专用、费用账户余额等情况作出评价。</w:t>
      </w:r>
    </w:p>
    <w:p>
      <w:pPr>
        <w:spacing w:line="600" w:lineRule="exact"/>
        <w:ind w:firstLine="64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</w:t>
      </w:r>
      <w:r>
        <w:rPr>
          <w:rFonts w:hint="default" w:ascii="黑体" w:hAnsi="黑体" w:eastAsia="黑体" w:cs="黑体"/>
          <w:kern w:val="0"/>
          <w:sz w:val="32"/>
          <w:szCs w:val="32"/>
        </w:rPr>
        <w:t>存在问题与整改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要求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如实记录验收过程中发现的问题，并提出明确的整改要求。应分别列出现场查验发现的问题和资料审核发现的问题，问题描述应具体、准确。针对问题，应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逐个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提出明确的整改要求、整改时限和责任单位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建议以表格形式呈现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。同时，可根据需要提出后期管护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要求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，明确管护责任主体、管护内容及期限。</w:t>
      </w:r>
    </w:p>
    <w:p>
      <w:pPr>
        <w:spacing w:line="600" w:lineRule="exact"/>
        <w:ind w:firstLine="640"/>
        <w:jc w:val="left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七、验收</w:t>
      </w:r>
      <w:r>
        <w:rPr>
          <w:rFonts w:hint="default" w:ascii="黑体" w:hAnsi="黑体" w:eastAsia="黑体" w:cs="黑体"/>
          <w:kern w:val="0"/>
          <w:sz w:val="32"/>
          <w:szCs w:val="32"/>
        </w:rPr>
        <w:t>结论</w:t>
      </w:r>
    </w:p>
    <w:p>
      <w:pPr>
        <w:spacing w:line="600" w:lineRule="exact"/>
        <w:ind w:firstLine="640" w:firstLineChars="200"/>
      </w:pP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给出明确的验收结论。首先应对工程完成情况、质量效果、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生态修复费用提取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使用、资料完备等方面进行总体评价。然后，应明确作出“通过验收”或“不通过验收”的结论，并简要说明理由。通过验收的，可说明后续工作建议（如信息录入、手续办理、工程移交等）；不通过验收的，应明确整改后重新申请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验收</w:t>
      </w:r>
      <w:r>
        <w:rPr>
          <w:rFonts w:hint="default" w:ascii="方正仿宋_GBK" w:hAnsi="Times New Roman" w:eastAsia="方正仿宋_GBK" w:cs="Times New Roman"/>
          <w:color w:val="000000"/>
          <w:sz w:val="32"/>
          <w:szCs w:val="32"/>
          <w:lang w:val="en-US" w:eastAsia="zh-CN"/>
        </w:rPr>
        <w:t>的要求</w:t>
      </w:r>
      <w:r>
        <w:rPr>
          <w:rFonts w:hint="eastAsia" w:ascii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pStyle w:val="14"/>
      </w:pPr>
    </w:p>
    <w:sectPr>
      <w:headerReference r:id="rId5" w:type="default"/>
      <w:footerReference r:id="rId6" w:type="default"/>
      <w:pgSz w:w="11906" w:h="16838"/>
      <w:pgMar w:top="1440" w:right="1803" w:bottom="1440" w:left="1803" w:header="720" w:footer="720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ind w:firstLine="5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firstLine="5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60"/>
  <w:drawingGridVerticalSpacing w:val="2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D1"/>
    <w:rsid w:val="000D563B"/>
    <w:rsid w:val="00100DEF"/>
    <w:rsid w:val="001313E5"/>
    <w:rsid w:val="00145662"/>
    <w:rsid w:val="00151BBE"/>
    <w:rsid w:val="001966C6"/>
    <w:rsid w:val="0025708E"/>
    <w:rsid w:val="002A2EFD"/>
    <w:rsid w:val="002D726D"/>
    <w:rsid w:val="00304622"/>
    <w:rsid w:val="00327FF6"/>
    <w:rsid w:val="00343B58"/>
    <w:rsid w:val="003555FF"/>
    <w:rsid w:val="003C6165"/>
    <w:rsid w:val="004733F3"/>
    <w:rsid w:val="004F5655"/>
    <w:rsid w:val="005337C0"/>
    <w:rsid w:val="00551355"/>
    <w:rsid w:val="00591A87"/>
    <w:rsid w:val="005A1EC2"/>
    <w:rsid w:val="005B2FC1"/>
    <w:rsid w:val="005F46AE"/>
    <w:rsid w:val="0067115A"/>
    <w:rsid w:val="00684F09"/>
    <w:rsid w:val="00721C51"/>
    <w:rsid w:val="007302A7"/>
    <w:rsid w:val="00750189"/>
    <w:rsid w:val="00757086"/>
    <w:rsid w:val="00806722"/>
    <w:rsid w:val="008520D0"/>
    <w:rsid w:val="0087679F"/>
    <w:rsid w:val="008A2F03"/>
    <w:rsid w:val="008F6AAB"/>
    <w:rsid w:val="009049E9"/>
    <w:rsid w:val="00912BBE"/>
    <w:rsid w:val="009956D1"/>
    <w:rsid w:val="009A6CB3"/>
    <w:rsid w:val="00A47F96"/>
    <w:rsid w:val="00A97DBC"/>
    <w:rsid w:val="00AA09FA"/>
    <w:rsid w:val="00AC3408"/>
    <w:rsid w:val="00AE2D0B"/>
    <w:rsid w:val="00B553AB"/>
    <w:rsid w:val="00B84B3F"/>
    <w:rsid w:val="00BA20ED"/>
    <w:rsid w:val="00BE7867"/>
    <w:rsid w:val="00C3439A"/>
    <w:rsid w:val="00C43C25"/>
    <w:rsid w:val="00C87130"/>
    <w:rsid w:val="00D20E06"/>
    <w:rsid w:val="00D42080"/>
    <w:rsid w:val="00D73583"/>
    <w:rsid w:val="00D975F1"/>
    <w:rsid w:val="00DA1254"/>
    <w:rsid w:val="00DA700E"/>
    <w:rsid w:val="00DB28F5"/>
    <w:rsid w:val="00DC52C5"/>
    <w:rsid w:val="00E960D5"/>
    <w:rsid w:val="00F748AE"/>
    <w:rsid w:val="00FE072E"/>
    <w:rsid w:val="07B471FE"/>
    <w:rsid w:val="0C4B11C9"/>
    <w:rsid w:val="141334FE"/>
    <w:rsid w:val="14D71C9F"/>
    <w:rsid w:val="159B19FD"/>
    <w:rsid w:val="160752E5"/>
    <w:rsid w:val="16B34B25"/>
    <w:rsid w:val="171D6B76"/>
    <w:rsid w:val="19747533"/>
    <w:rsid w:val="1AABFA94"/>
    <w:rsid w:val="1BBC447B"/>
    <w:rsid w:val="1DB72ED7"/>
    <w:rsid w:val="1DBF0F96"/>
    <w:rsid w:val="1DDBC4ED"/>
    <w:rsid w:val="1ED7BF13"/>
    <w:rsid w:val="1FB549A0"/>
    <w:rsid w:val="1FFFA17F"/>
    <w:rsid w:val="200A3A07"/>
    <w:rsid w:val="23C87E61"/>
    <w:rsid w:val="2657B7C6"/>
    <w:rsid w:val="27533EE6"/>
    <w:rsid w:val="27E79FF1"/>
    <w:rsid w:val="2CFE4338"/>
    <w:rsid w:val="31B7BF2F"/>
    <w:rsid w:val="333F139E"/>
    <w:rsid w:val="347C9FB8"/>
    <w:rsid w:val="37760AF8"/>
    <w:rsid w:val="37FD0228"/>
    <w:rsid w:val="39AE9DAE"/>
    <w:rsid w:val="3ABDA286"/>
    <w:rsid w:val="3CFEBCF6"/>
    <w:rsid w:val="3D99A9B4"/>
    <w:rsid w:val="3D9BCC6F"/>
    <w:rsid w:val="3DF7D1BA"/>
    <w:rsid w:val="3E1F3D70"/>
    <w:rsid w:val="3E5F3663"/>
    <w:rsid w:val="3F6DA764"/>
    <w:rsid w:val="3F7DB85B"/>
    <w:rsid w:val="3F7E9152"/>
    <w:rsid w:val="3FDEB623"/>
    <w:rsid w:val="3FE2E2D6"/>
    <w:rsid w:val="3FEFABD1"/>
    <w:rsid w:val="3FFF5B17"/>
    <w:rsid w:val="41F83BB0"/>
    <w:rsid w:val="42B23D5F"/>
    <w:rsid w:val="45F76A2F"/>
    <w:rsid w:val="49F27137"/>
    <w:rsid w:val="4ED854FC"/>
    <w:rsid w:val="4FE94BE9"/>
    <w:rsid w:val="559F26F4"/>
    <w:rsid w:val="565D9CC3"/>
    <w:rsid w:val="57FE1A37"/>
    <w:rsid w:val="59DE09E4"/>
    <w:rsid w:val="5ADF9CD7"/>
    <w:rsid w:val="5AF7CF86"/>
    <w:rsid w:val="5B5B7D99"/>
    <w:rsid w:val="5B9E2C7A"/>
    <w:rsid w:val="5BD7601D"/>
    <w:rsid w:val="5BF74C89"/>
    <w:rsid w:val="5BFF97D5"/>
    <w:rsid w:val="5C9F5F27"/>
    <w:rsid w:val="5D57D845"/>
    <w:rsid w:val="5DBD4A08"/>
    <w:rsid w:val="5DDBAF49"/>
    <w:rsid w:val="5E6F4599"/>
    <w:rsid w:val="5E9E5967"/>
    <w:rsid w:val="5EFB5C62"/>
    <w:rsid w:val="5EFFFBA9"/>
    <w:rsid w:val="5FCE2A5D"/>
    <w:rsid w:val="5FF331D1"/>
    <w:rsid w:val="5FF7A16F"/>
    <w:rsid w:val="5FFAEB50"/>
    <w:rsid w:val="617F1EDB"/>
    <w:rsid w:val="63DD986F"/>
    <w:rsid w:val="659BC0B3"/>
    <w:rsid w:val="66BDFF44"/>
    <w:rsid w:val="66CECF67"/>
    <w:rsid w:val="67B53320"/>
    <w:rsid w:val="67F78CA9"/>
    <w:rsid w:val="67FB726B"/>
    <w:rsid w:val="67FF5C6D"/>
    <w:rsid w:val="6BADEA44"/>
    <w:rsid w:val="6DBF7588"/>
    <w:rsid w:val="6DFFC1FD"/>
    <w:rsid w:val="6EAB623B"/>
    <w:rsid w:val="6F9FF704"/>
    <w:rsid w:val="6FFD7A05"/>
    <w:rsid w:val="6FFF4D3E"/>
    <w:rsid w:val="6FFFF474"/>
    <w:rsid w:val="71FD1A7D"/>
    <w:rsid w:val="73BEB446"/>
    <w:rsid w:val="73DF052B"/>
    <w:rsid w:val="74794C7C"/>
    <w:rsid w:val="7535B604"/>
    <w:rsid w:val="755521A4"/>
    <w:rsid w:val="759A206D"/>
    <w:rsid w:val="75F7684B"/>
    <w:rsid w:val="75FF112F"/>
    <w:rsid w:val="76FF4CB9"/>
    <w:rsid w:val="77CF61AB"/>
    <w:rsid w:val="77DFA41A"/>
    <w:rsid w:val="77EE158F"/>
    <w:rsid w:val="77F56774"/>
    <w:rsid w:val="793A1DDD"/>
    <w:rsid w:val="795B604D"/>
    <w:rsid w:val="799F41B2"/>
    <w:rsid w:val="79F4713D"/>
    <w:rsid w:val="79FD04E9"/>
    <w:rsid w:val="7A77B977"/>
    <w:rsid w:val="7A798594"/>
    <w:rsid w:val="7ABB1324"/>
    <w:rsid w:val="7B7F9899"/>
    <w:rsid w:val="7BA74A48"/>
    <w:rsid w:val="7BB73D07"/>
    <w:rsid w:val="7BEB6843"/>
    <w:rsid w:val="7BF35EAE"/>
    <w:rsid w:val="7BF6061E"/>
    <w:rsid w:val="7BF78A74"/>
    <w:rsid w:val="7CED29CB"/>
    <w:rsid w:val="7CEF134B"/>
    <w:rsid w:val="7CF70242"/>
    <w:rsid w:val="7D9D5109"/>
    <w:rsid w:val="7DBC9349"/>
    <w:rsid w:val="7DD9D1DC"/>
    <w:rsid w:val="7DDCD522"/>
    <w:rsid w:val="7DDF742E"/>
    <w:rsid w:val="7DE9CA1F"/>
    <w:rsid w:val="7DE9CA65"/>
    <w:rsid w:val="7DFEA66A"/>
    <w:rsid w:val="7E3C06A0"/>
    <w:rsid w:val="7E5B4BFA"/>
    <w:rsid w:val="7EAB4E72"/>
    <w:rsid w:val="7EAF51D3"/>
    <w:rsid w:val="7EBAD03E"/>
    <w:rsid w:val="7F293098"/>
    <w:rsid w:val="7F56816E"/>
    <w:rsid w:val="7F7EDB45"/>
    <w:rsid w:val="7F7F8A8D"/>
    <w:rsid w:val="7FADCB2F"/>
    <w:rsid w:val="7FBF890B"/>
    <w:rsid w:val="7FEF6F57"/>
    <w:rsid w:val="7FEF8960"/>
    <w:rsid w:val="7FF320FD"/>
    <w:rsid w:val="7FFB51A4"/>
    <w:rsid w:val="7FFE51D5"/>
    <w:rsid w:val="7FFF2273"/>
    <w:rsid w:val="7FFF2B07"/>
    <w:rsid w:val="7FFFBF11"/>
    <w:rsid w:val="7FFFC1C6"/>
    <w:rsid w:val="8F9D6020"/>
    <w:rsid w:val="96DFE24D"/>
    <w:rsid w:val="97FA843C"/>
    <w:rsid w:val="9BEF9390"/>
    <w:rsid w:val="9C9B80F8"/>
    <w:rsid w:val="9D9F6C43"/>
    <w:rsid w:val="9DBE2FBE"/>
    <w:rsid w:val="9ED7ADA9"/>
    <w:rsid w:val="9FB7EA0D"/>
    <w:rsid w:val="9FFB7DAD"/>
    <w:rsid w:val="A7FBFE0B"/>
    <w:rsid w:val="AB7F18D1"/>
    <w:rsid w:val="AED933AB"/>
    <w:rsid w:val="AF3F88F2"/>
    <w:rsid w:val="AFDD0C25"/>
    <w:rsid w:val="AFFFB392"/>
    <w:rsid w:val="B6B6267E"/>
    <w:rsid w:val="B6DBAC06"/>
    <w:rsid w:val="B75B9748"/>
    <w:rsid w:val="B75F713C"/>
    <w:rsid w:val="B8EF4FC6"/>
    <w:rsid w:val="BBB5935B"/>
    <w:rsid w:val="BBD6B587"/>
    <w:rsid w:val="BBED5B85"/>
    <w:rsid w:val="BD2D671C"/>
    <w:rsid w:val="BDF90BFF"/>
    <w:rsid w:val="BDFB8109"/>
    <w:rsid w:val="BDFBD19B"/>
    <w:rsid w:val="BE9424D4"/>
    <w:rsid w:val="BEFFB5BE"/>
    <w:rsid w:val="BF5E1D18"/>
    <w:rsid w:val="BFF7A094"/>
    <w:rsid w:val="C6CFD7BF"/>
    <w:rsid w:val="C9ACF726"/>
    <w:rsid w:val="CBFDF4D4"/>
    <w:rsid w:val="CECAE569"/>
    <w:rsid w:val="D2BF8252"/>
    <w:rsid w:val="D5FFE471"/>
    <w:rsid w:val="D7EE5C79"/>
    <w:rsid w:val="DBBF68DB"/>
    <w:rsid w:val="DD87D34E"/>
    <w:rsid w:val="DDA53FED"/>
    <w:rsid w:val="DDDB3BCA"/>
    <w:rsid w:val="DDF7FD5F"/>
    <w:rsid w:val="DE6AC685"/>
    <w:rsid w:val="DEDCE36E"/>
    <w:rsid w:val="DEFDCFC8"/>
    <w:rsid w:val="DEFFCCD4"/>
    <w:rsid w:val="DF7B2505"/>
    <w:rsid w:val="DFDEEAC4"/>
    <w:rsid w:val="DFEFDB8B"/>
    <w:rsid w:val="DFFE60AD"/>
    <w:rsid w:val="E25B1600"/>
    <w:rsid w:val="E28DE79B"/>
    <w:rsid w:val="E3FEFE59"/>
    <w:rsid w:val="E53E4475"/>
    <w:rsid w:val="E7BB1DC8"/>
    <w:rsid w:val="E7EBC45E"/>
    <w:rsid w:val="EAF4CBE9"/>
    <w:rsid w:val="EAFEC843"/>
    <w:rsid w:val="ECFBEFB9"/>
    <w:rsid w:val="ED7F1947"/>
    <w:rsid w:val="EDDD2738"/>
    <w:rsid w:val="EEB7C0B4"/>
    <w:rsid w:val="EF3F7900"/>
    <w:rsid w:val="EF6FCCB0"/>
    <w:rsid w:val="EFBDCF89"/>
    <w:rsid w:val="EFEDD2AD"/>
    <w:rsid w:val="EFEE5D72"/>
    <w:rsid w:val="F2774317"/>
    <w:rsid w:val="F5EF9BD9"/>
    <w:rsid w:val="F64B09A0"/>
    <w:rsid w:val="F6EFF75B"/>
    <w:rsid w:val="F6FF11B5"/>
    <w:rsid w:val="F77F6D67"/>
    <w:rsid w:val="F7B95911"/>
    <w:rsid w:val="F7BF2725"/>
    <w:rsid w:val="F7EF088D"/>
    <w:rsid w:val="F7FF75AA"/>
    <w:rsid w:val="F87FBBAC"/>
    <w:rsid w:val="FA3E2E30"/>
    <w:rsid w:val="FADBF352"/>
    <w:rsid w:val="FADF5AF2"/>
    <w:rsid w:val="FAFF0B3A"/>
    <w:rsid w:val="FBBFC041"/>
    <w:rsid w:val="FBEA651D"/>
    <w:rsid w:val="FBF5C6F7"/>
    <w:rsid w:val="FBFE6F63"/>
    <w:rsid w:val="FC7B0099"/>
    <w:rsid w:val="FCB746BD"/>
    <w:rsid w:val="FCE656E6"/>
    <w:rsid w:val="FCFF6A4C"/>
    <w:rsid w:val="FD7E9264"/>
    <w:rsid w:val="FDB7E35E"/>
    <w:rsid w:val="FDCF7265"/>
    <w:rsid w:val="FDF25B73"/>
    <w:rsid w:val="FDF98B17"/>
    <w:rsid w:val="FE64D34D"/>
    <w:rsid w:val="FE9F5C0D"/>
    <w:rsid w:val="FED9DDCF"/>
    <w:rsid w:val="FEE7A756"/>
    <w:rsid w:val="FEEA6BB8"/>
    <w:rsid w:val="FEF195CF"/>
    <w:rsid w:val="FEFF1499"/>
    <w:rsid w:val="FF4B9ADE"/>
    <w:rsid w:val="FF7ED926"/>
    <w:rsid w:val="FF8C2028"/>
    <w:rsid w:val="FFB20904"/>
    <w:rsid w:val="FFBF7541"/>
    <w:rsid w:val="FFBF9F40"/>
    <w:rsid w:val="FFD7C725"/>
    <w:rsid w:val="FFDFE669"/>
    <w:rsid w:val="FFE75252"/>
    <w:rsid w:val="FFF5F815"/>
    <w:rsid w:val="FFF6A55F"/>
    <w:rsid w:val="FFF6F59A"/>
    <w:rsid w:val="FFF738A5"/>
    <w:rsid w:val="FFF9273C"/>
    <w:rsid w:val="FFF987E1"/>
    <w:rsid w:val="FFF9D1E9"/>
    <w:rsid w:val="FFFE5C6B"/>
    <w:rsid w:val="FFFE7147"/>
    <w:rsid w:val="FFFF43A8"/>
    <w:rsid w:val="FFFFC252"/>
    <w:rsid w:val="FFFFD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25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 w:cstheme="majorBidi"/>
      <w:sz w:val="36"/>
      <w:szCs w:val="48"/>
    </w:rPr>
  </w:style>
  <w:style w:type="paragraph" w:styleId="4">
    <w:name w:val="heading 2"/>
    <w:basedOn w:val="1"/>
    <w:next w:val="1"/>
    <w:link w:val="26"/>
    <w:unhideWhenUsed/>
    <w:qFormat/>
    <w:uiPriority w:val="9"/>
    <w:pPr>
      <w:keepNext/>
      <w:keepLines/>
      <w:jc w:val="center"/>
      <w:outlineLvl w:val="1"/>
    </w:pPr>
    <w:rPr>
      <w:rFonts w:eastAsia="方正小标宋_GBK" w:cstheme="majorBidi"/>
      <w:sz w:val="36"/>
      <w:szCs w:val="40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outlineLvl w:val="2"/>
    </w:pPr>
    <w:rPr>
      <w:rFonts w:ascii="方正黑体_GBK" w:hAnsi="方正黑体_GBK" w:eastAsia="方正黑体_GBK" w:cstheme="majorBidi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outlineLvl w:val="3"/>
    </w:pPr>
    <w:rPr>
      <w:rFonts w:eastAsia="方正楷体_GBK" w:cstheme="majorBidi"/>
      <w:szCs w:val="28"/>
    </w:rPr>
  </w:style>
  <w:style w:type="paragraph" w:styleId="7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paragraph" w:styleId="12">
    <w:name w:val="Body Text"/>
    <w:basedOn w:val="1"/>
    <w:next w:val="13"/>
    <w:qFormat/>
    <w:uiPriority w:val="0"/>
    <w:pPr>
      <w:spacing w:after="120"/>
    </w:pPr>
  </w:style>
  <w:style w:type="paragraph" w:styleId="13">
    <w:name w:val="Body Text First Indent"/>
    <w:basedOn w:val="12"/>
    <w:next w:val="14"/>
    <w:qFormat/>
    <w:uiPriority w:val="0"/>
    <w:pPr>
      <w:ind w:firstLine="420" w:firstLineChars="100"/>
    </w:pPr>
  </w:style>
  <w:style w:type="paragraph" w:styleId="14">
    <w:name w:val="Body Text First Indent 2"/>
    <w:basedOn w:val="15"/>
    <w:next w:val="13"/>
    <w:qFormat/>
    <w:uiPriority w:val="0"/>
    <w:pPr>
      <w:ind w:firstLine="420"/>
    </w:pPr>
  </w:style>
  <w:style w:type="paragraph" w:styleId="1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6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customStyle="1" w:styleId="25">
    <w:name w:val="标题 1 字符"/>
    <w:basedOn w:val="23"/>
    <w:link w:val="2"/>
    <w:qFormat/>
    <w:uiPriority w:val="9"/>
    <w:rPr>
      <w:rFonts w:ascii="Times New Roman" w:hAnsi="Times New Roman" w:eastAsia="方正小标宋_GBK" w:cstheme="majorBidi"/>
      <w:sz w:val="36"/>
      <w:szCs w:val="48"/>
    </w:rPr>
  </w:style>
  <w:style w:type="character" w:customStyle="1" w:styleId="26">
    <w:name w:val="标题 2 字符"/>
    <w:basedOn w:val="23"/>
    <w:link w:val="4"/>
    <w:qFormat/>
    <w:uiPriority w:val="9"/>
    <w:rPr>
      <w:rFonts w:ascii="Times New Roman" w:hAnsi="Times New Roman" w:eastAsia="方正小标宋_GBK" w:cstheme="majorBidi"/>
      <w:sz w:val="36"/>
      <w:szCs w:val="40"/>
    </w:rPr>
  </w:style>
  <w:style w:type="character" w:customStyle="1" w:styleId="27">
    <w:name w:val="标题 3 字符"/>
    <w:basedOn w:val="23"/>
    <w:link w:val="5"/>
    <w:qFormat/>
    <w:uiPriority w:val="9"/>
    <w:rPr>
      <w:rFonts w:ascii="方正黑体_GBK" w:hAnsi="方正黑体_GBK" w:eastAsia="方正黑体_GBK" w:cstheme="majorBidi"/>
      <w:sz w:val="32"/>
      <w:szCs w:val="32"/>
    </w:rPr>
  </w:style>
  <w:style w:type="character" w:customStyle="1" w:styleId="28">
    <w:name w:val="标题 4 字符"/>
    <w:basedOn w:val="23"/>
    <w:link w:val="6"/>
    <w:qFormat/>
    <w:uiPriority w:val="9"/>
    <w:rPr>
      <w:rFonts w:ascii="Times New Roman" w:hAnsi="Times New Roman" w:eastAsia="方正楷体_GBK" w:cstheme="majorBidi"/>
      <w:sz w:val="32"/>
      <w:szCs w:val="28"/>
    </w:rPr>
  </w:style>
  <w:style w:type="character" w:customStyle="1" w:styleId="29">
    <w:name w:val="标题 5 字符"/>
    <w:basedOn w:val="23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0">
    <w:name w:val="标题 6 字符"/>
    <w:basedOn w:val="23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1">
    <w:name w:val="标题 7 字符"/>
    <w:basedOn w:val="23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3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3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3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3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3"/>
    <w:link w:val="17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43">
    <w:name w:val="页脚 字符"/>
    <w:basedOn w:val="23"/>
    <w:link w:val="16"/>
    <w:qFormat/>
    <w:uiPriority w:val="99"/>
    <w:rPr>
      <w:rFonts w:ascii="Times New Roman" w:hAnsi="Times New Roman" w:eastAsia="方正仿宋_GBK"/>
      <w:sz w:val="18"/>
      <w:szCs w:val="18"/>
    </w:rPr>
  </w:style>
  <w:style w:type="table" w:customStyle="1" w:styleId="4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 w:line="24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  <w:style w:type="table" w:customStyle="1" w:styleId="46">
    <w:name w:val="Table Normal1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Table Normal2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Table Normal3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Table Normal4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Table Normal5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Table Normal6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Table Normal7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Table Normal8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Table Normal9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Table Normal10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Table Normal11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Table Normal12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Table Normal13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Table Normal14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Table Normal15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62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3">
    <w:name w:val="font01"/>
    <w:basedOn w:val="2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paragraph" w:customStyle="1" w:styleId="6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12297</Words>
  <Characters>13180</Characters>
  <Lines>143</Lines>
  <Paragraphs>40</Paragraphs>
  <TotalTime>33</TotalTime>
  <ScaleCrop>false</ScaleCrop>
  <LinksUpToDate>false</LinksUpToDate>
  <CharactersWithSpaces>13462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2025-12-18T17:18:00Z</dcterms:created>
  <dc:creator>磊 房</dc:creator>
  <cp:lastModifiedBy>ht706</cp:lastModifiedBy>
  <cp:lastPrinted>2026-04-08T18:32:00Z</cp:lastPrinted>
  <dcterms:modified xsi:type="dcterms:W3CDTF">2026-04-29T11:46:11Z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8D1E2821B801861B3EC2EE69557F5CF0</vt:lpwstr>
  </property>
  <property fmtid="{D5CDD505-2E9C-101B-9397-08002B2CF9AE}" pid="4" name="KSOTemplateDocerSaveRecord">
    <vt:lpwstr>eyJoZGlkIjoiMjY4NDcxNGY2ODkwYjQ5OTg1YWI5ZThhMzdkZmM3OWQiLCJ1c2VySWQiOiI0MTU3MDQwNDQifQ==</vt:lpwstr>
  </property>
</Properties>
</file>