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矿区生态修复方案审查规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程</w:t>
      </w:r>
    </w:p>
    <w:p>
      <w:pPr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一、适用范围</w:t>
      </w:r>
    </w:p>
    <w:p>
      <w:pPr>
        <w:ind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本规</w:t>
      </w:r>
      <w:r>
        <w:rPr>
          <w:rFonts w:hint="eastAsia"/>
          <w:sz w:val="32"/>
          <w:szCs w:val="32"/>
          <w:lang w:val="en-US" w:eastAsia="zh-CN"/>
        </w:rPr>
        <w:t>程</w:t>
      </w:r>
      <w:r>
        <w:rPr>
          <w:rFonts w:hint="eastAsia"/>
          <w:sz w:val="32"/>
          <w:szCs w:val="32"/>
        </w:rPr>
        <w:t>规定了宁夏回族自治区行政区域内</w:t>
      </w:r>
      <w:r>
        <w:rPr>
          <w:rFonts w:hint="eastAsia"/>
          <w:sz w:val="32"/>
          <w:szCs w:val="32"/>
          <w:lang w:eastAsia="zh-CN"/>
        </w:rPr>
        <w:t>在建与生产矿山</w:t>
      </w:r>
      <w:r>
        <w:rPr>
          <w:rFonts w:hint="eastAsia"/>
          <w:sz w:val="32"/>
          <w:szCs w:val="32"/>
        </w:rPr>
        <w:t>矿</w:t>
      </w:r>
      <w:r>
        <w:rPr>
          <w:rFonts w:hint="eastAsia"/>
          <w:sz w:val="32"/>
          <w:szCs w:val="32"/>
          <w:lang w:eastAsia="zh-CN"/>
        </w:rPr>
        <w:t>区</w:t>
      </w:r>
      <w:r>
        <w:rPr>
          <w:rFonts w:hint="eastAsia"/>
          <w:sz w:val="32"/>
          <w:szCs w:val="32"/>
        </w:rPr>
        <w:t>生态修复方案</w:t>
      </w:r>
      <w:r>
        <w:rPr>
          <w:rFonts w:hint="eastAsia"/>
          <w:sz w:val="32"/>
          <w:szCs w:val="32"/>
          <w:lang w:eastAsia="zh-CN"/>
        </w:rPr>
        <w:t>（以下简称“方案”）</w:t>
      </w:r>
      <w:r>
        <w:rPr>
          <w:rFonts w:hint="eastAsia"/>
          <w:sz w:val="32"/>
          <w:szCs w:val="32"/>
        </w:rPr>
        <w:t>的审查</w:t>
      </w:r>
      <w:r>
        <w:rPr>
          <w:rFonts w:hint="eastAsia"/>
          <w:sz w:val="32"/>
          <w:szCs w:val="32"/>
          <w:lang w:eastAsia="zh-CN"/>
        </w:rPr>
        <w:t>依据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  <w:lang w:eastAsia="zh-CN"/>
        </w:rPr>
        <w:t>审查流程、审查要点</w:t>
      </w:r>
      <w:r>
        <w:rPr>
          <w:rFonts w:hint="eastAsia"/>
          <w:sz w:val="32"/>
          <w:szCs w:val="32"/>
        </w:rPr>
        <w:t>等要求。</w:t>
      </w:r>
    </w:p>
    <w:p>
      <w:pPr>
        <w:ind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本规</w:t>
      </w:r>
      <w:r>
        <w:rPr>
          <w:rFonts w:hint="eastAsia"/>
          <w:sz w:val="32"/>
          <w:szCs w:val="32"/>
          <w:lang w:eastAsia="zh-CN"/>
        </w:rPr>
        <w:t>程</w:t>
      </w:r>
      <w:r>
        <w:rPr>
          <w:rFonts w:hint="eastAsia"/>
          <w:sz w:val="32"/>
          <w:szCs w:val="32"/>
        </w:rPr>
        <w:t>适用于自治区</w:t>
      </w:r>
      <w:r>
        <w:rPr>
          <w:rFonts w:hint="eastAsia"/>
          <w:sz w:val="32"/>
          <w:szCs w:val="32"/>
          <w:lang w:eastAsia="zh-CN"/>
        </w:rPr>
        <w:t>境</w:t>
      </w:r>
      <w:r>
        <w:rPr>
          <w:rFonts w:hint="eastAsia"/>
          <w:sz w:val="32"/>
          <w:szCs w:val="32"/>
        </w:rPr>
        <w:t>内依法取得采矿</w:t>
      </w:r>
      <w:r>
        <w:rPr>
          <w:rFonts w:hint="eastAsia"/>
          <w:sz w:val="32"/>
          <w:szCs w:val="32"/>
          <w:lang w:eastAsia="zh-CN"/>
        </w:rPr>
        <w:t>权的</w:t>
      </w:r>
      <w:r>
        <w:rPr>
          <w:rFonts w:hint="eastAsia"/>
          <w:sz w:val="32"/>
          <w:szCs w:val="32"/>
        </w:rPr>
        <w:t>矿区生态修复方案</w:t>
      </w:r>
      <w:r>
        <w:rPr>
          <w:rFonts w:hint="eastAsia"/>
          <w:sz w:val="32"/>
          <w:szCs w:val="32"/>
          <w:lang w:eastAsia="zh-CN"/>
        </w:rPr>
        <w:t>（包括重新编制的矿区生态修复方案）</w:t>
      </w:r>
      <w:r>
        <w:rPr>
          <w:rFonts w:hint="eastAsia"/>
          <w:sz w:val="32"/>
          <w:szCs w:val="32"/>
        </w:rPr>
        <w:t>审查</w:t>
      </w:r>
      <w:r>
        <w:rPr>
          <w:rFonts w:hint="eastAsia"/>
          <w:sz w:val="32"/>
          <w:szCs w:val="32"/>
          <w:lang w:eastAsia="zh-CN"/>
        </w:rPr>
        <w:t>等</w:t>
      </w:r>
      <w:r>
        <w:rPr>
          <w:rFonts w:hint="eastAsia"/>
          <w:sz w:val="32"/>
          <w:szCs w:val="32"/>
        </w:rPr>
        <w:t>管理工作。</w:t>
      </w:r>
    </w:p>
    <w:p>
      <w:pPr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eastAsia="zh-CN"/>
        </w:rPr>
        <w:t>审查</w:t>
      </w:r>
      <w:r>
        <w:rPr>
          <w:rFonts w:hint="eastAsia" w:ascii="黑体" w:hAnsi="黑体" w:eastAsia="黑体"/>
          <w:sz w:val="32"/>
          <w:szCs w:val="32"/>
        </w:rPr>
        <w:t>依据</w:t>
      </w:r>
    </w:p>
    <w:p>
      <w:pPr>
        <w:ind w:firstLine="640"/>
        <w:jc w:val="both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（一）《中华人民共和国矿产资源法》《中华人民共和国土地管理法》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《地质灾害防治条例》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等国家及自治区相关法律法规、政策文件；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（二）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《矿山生态修复技术规范》（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TD/T1070.1-7）系列标准等矿山生态修复相关标准、行业规范；</w:t>
      </w:r>
    </w:p>
    <w:p>
      <w:pPr>
        <w:ind w:firstLine="640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（三）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审查通过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的矿产资源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开采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方案等已批复的相关技术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方案。</w:t>
      </w:r>
    </w:p>
    <w:p>
      <w:pPr>
        <w:ind w:firstLine="64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、审查</w:t>
      </w:r>
      <w:r>
        <w:rPr>
          <w:rFonts w:hint="eastAsia" w:ascii="黑体" w:hAnsi="黑体" w:eastAsia="黑体"/>
          <w:sz w:val="32"/>
          <w:szCs w:val="32"/>
          <w:lang w:eastAsia="zh-CN"/>
        </w:rPr>
        <w:t>流程</w:t>
      </w:r>
    </w:p>
    <w:p>
      <w:pPr>
        <w:ind w:firstLine="643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（一）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申请。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采矿权人通过宁夏政府服务网向</w:t>
      </w:r>
      <w:r>
        <w:rPr>
          <w:rFonts w:hint="eastAsia"/>
          <w:sz w:val="32"/>
          <w:szCs w:val="32"/>
          <w:highlight w:val="none"/>
          <w:lang w:eastAsia="zh-CN"/>
        </w:rPr>
        <w:t>具有相应采矿权登记权限的自然资源主管部门申请方案审查，申报材料包括但不限于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：</w:t>
      </w:r>
    </w:p>
    <w:p>
      <w:pPr>
        <w:ind w:firstLine="640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1.方案审查申请表；</w:t>
      </w:r>
    </w:p>
    <w:p>
      <w:pPr>
        <w:ind w:firstLine="640"/>
        <w:rPr>
          <w:rFonts w:hint="eastAsia" w:ascii="方正仿宋_GBK" w:hAnsi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2.方案文本、附图、附表纸质及电子件；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意见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证明材料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采矿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权人认为需要补充的其他相关佐证材料。</w:t>
      </w:r>
    </w:p>
    <w:p>
      <w:pPr>
        <w:ind w:firstLine="643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二</w:t>
      </w:r>
      <w:r>
        <w:rPr>
          <w:rFonts w:hint="eastAsia" w:ascii="方正楷体_GBK" w:eastAsia="方正楷体_GBK"/>
          <w:b/>
          <w:bCs/>
          <w:sz w:val="32"/>
          <w:szCs w:val="32"/>
        </w:rPr>
        <w:t>）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受理。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具有相应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采矿权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登记权限的自然资源主管部门收到申报材料后，对材料完整性进行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审核。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申报材料齐全、符合法定形式的，予以正式受理；申报材料存在缺漏或不符合要求的，应一次性告知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人补正要求，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申报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人按要求补充完善后重新申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请。</w:t>
      </w:r>
    </w:p>
    <w:p>
      <w:pPr>
        <w:ind w:firstLine="643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三</w:t>
      </w:r>
      <w:r>
        <w:rPr>
          <w:rFonts w:hint="eastAsia" w:ascii="方正楷体_GBK" w:eastAsia="方正楷体_GBK"/>
          <w:b/>
          <w:bCs/>
          <w:sz w:val="32"/>
          <w:szCs w:val="32"/>
        </w:rPr>
        <w:t>）</w:t>
      </w:r>
      <w:r>
        <w:rPr>
          <w:rFonts w:hint="eastAsia" w:ascii="方正楷体_GBK" w:eastAsia="方正楷体_GBK"/>
          <w:b/>
          <w:bCs/>
          <w:sz w:val="32"/>
          <w:szCs w:val="32"/>
          <w:highlight w:val="none"/>
          <w:lang w:eastAsia="zh-CN"/>
        </w:rPr>
        <w:t>方案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审查。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组织审查的自然资源主管部门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应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当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及时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安排审查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，自受理方案审查申请至完成审查，时间不得超过10个工作日，办理审查过程中方案修改和复核所需时间不计入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val="en-US" w:eastAsia="zh-CN"/>
        </w:rPr>
        <w:t>时限。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审查应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专家库中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随机抽取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相关专业专家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组成专家组</w:t>
      </w:r>
      <w:r>
        <w:rPr>
          <w:rFonts w:hint="eastAsia" w:ascii="方正仿宋_GBK" w:hAnsi="方正仿宋_GBK" w:eastAsia="方正仿宋_GBK" w:cs="方正仿宋_GBK"/>
          <w:strike w:val="0"/>
          <w:dstrike w:val="0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专家组通过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听取汇报、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查阅资料、质询讨论等方式对方案进行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审查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形成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审查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>意见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。审查不通过的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，经修改完善后可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按照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原申请流程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再次申请</w:t>
      </w:r>
      <w:r>
        <w:rPr>
          <w:rFonts w:hint="eastAsia" w:ascii="方正仿宋_GBK" w:hAnsi="方正仿宋_GBK" w:cs="方正仿宋_GBK"/>
          <w:color w:val="auto"/>
          <w:sz w:val="32"/>
          <w:szCs w:val="32"/>
          <w:lang w:eastAsia="zh-CN"/>
        </w:rPr>
        <w:t>审查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>。</w:t>
      </w:r>
    </w:p>
    <w:p>
      <w:pPr>
        <w:ind w:firstLine="643"/>
        <w:rPr>
          <w:rFonts w:hint="eastAsia" w:ascii="方正仿宋_GBK" w:hAnsi="方正仿宋_GBK" w:eastAsia="方正仿宋_GBK" w:cs="方正仿宋_GBK"/>
          <w:sz w:val="32"/>
          <w:szCs w:val="32"/>
          <w:highlight w:val="red"/>
          <w:lang w:eastAsia="zh-CN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四）方案</w:t>
      </w:r>
      <w:r>
        <w:rPr>
          <w:rFonts w:hint="eastAsia" w:ascii="方正楷体_GBK" w:eastAsia="方正楷体_GBK"/>
          <w:b/>
          <w:bCs/>
          <w:sz w:val="32"/>
          <w:szCs w:val="32"/>
        </w:rPr>
        <w:t>复核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修改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完善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后的方案经组织审查的自然资源主管部门复核通过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后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依法开展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公示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</w:p>
    <w:p>
      <w:pPr>
        <w:ind w:firstLine="643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五</w:t>
      </w:r>
      <w:r>
        <w:rPr>
          <w:rFonts w:hint="eastAsia" w:ascii="方正楷体_GBK" w:eastAsia="方正楷体_GBK"/>
          <w:b/>
          <w:bCs/>
          <w:sz w:val="32"/>
          <w:szCs w:val="32"/>
        </w:rPr>
        <w:t>）公示公告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经复核通过的方案，由组织审查的自然资源主管部门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在本单位或属地人民政府门户网站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向社会公示方案文本及审查结果，公示期为7个工作日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公示期内收到异议的，应及时组织核实并提出处理意见；公示无异议或经核实异议不成立的，公示期满后正式出具方案审查通过意见，并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在本单位或属地人民政府门户网站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向社会发布公告。</w:t>
      </w:r>
    </w:p>
    <w:p>
      <w:pPr>
        <w:ind w:firstLine="643"/>
        <w:rPr>
          <w:rFonts w:hint="eastAsia"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六</w:t>
      </w:r>
      <w:r>
        <w:rPr>
          <w:rFonts w:hint="eastAsia" w:ascii="方正楷体_GBK" w:eastAsia="方正楷体_GBK"/>
          <w:b/>
          <w:bCs/>
          <w:sz w:val="32"/>
          <w:szCs w:val="32"/>
        </w:rPr>
        <w:t>）信息录入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</w:rPr>
        <w:t>方案审查通过后，相关信息应同步录入</w:t>
      </w:r>
      <w:r>
        <w:rPr>
          <w:rFonts w:hint="eastAsia"/>
          <w:color w:val="auto"/>
          <w:sz w:val="32"/>
          <w:szCs w:val="32"/>
          <w:highlight w:val="none"/>
          <w:lang w:eastAsia="zh-CN"/>
        </w:rPr>
        <w:t>宁夏政府服务网</w:t>
      </w:r>
      <w:r>
        <w:rPr>
          <w:rFonts w:hint="eastAsia"/>
          <w:color w:val="auto"/>
          <w:sz w:val="32"/>
          <w:szCs w:val="32"/>
          <w:highlight w:val="none"/>
        </w:rPr>
        <w:t>，</w:t>
      </w:r>
      <w:r>
        <w:rPr>
          <w:rFonts w:hint="eastAsia"/>
          <w:sz w:val="32"/>
          <w:szCs w:val="32"/>
        </w:rPr>
        <w:t>实现全流程闭环管理。</w:t>
      </w:r>
    </w:p>
    <w:p>
      <w:pPr>
        <w:ind w:firstLine="64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、审查</w:t>
      </w:r>
      <w:r>
        <w:rPr>
          <w:rFonts w:hint="eastAsia" w:ascii="黑体" w:hAnsi="黑体" w:eastAsia="黑体"/>
          <w:sz w:val="32"/>
          <w:szCs w:val="32"/>
          <w:lang w:eastAsia="zh-CN"/>
        </w:rPr>
        <w:t>要点</w:t>
      </w:r>
    </w:p>
    <w:p>
      <w:pPr>
        <w:ind w:firstLine="643"/>
        <w:jc w:val="both"/>
        <w:rPr>
          <w:rFonts w:hint="eastAsia" w:ascii="方正楷体_GBK" w:eastAsia="方正楷体_GBK"/>
          <w:b/>
          <w:bCs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（一）合规性审查</w:t>
      </w:r>
    </w:p>
    <w:p>
      <w:pPr>
        <w:ind w:firstLine="643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方案符合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《中华人民共和国矿产资源法》《中华人民共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和国土地管理法》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《地质灾害防治条例》等法律法规及政策文件规定。</w:t>
      </w:r>
    </w:p>
    <w:p>
      <w:pPr>
        <w:ind w:firstLine="643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方案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符合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国土空间总体规划、矿产资源规划等上位规划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，符合用途管制、耕地保护、生态保护红线、永久基本农田、河湖保护等相关管控要求，无违规突破管控边界的情形。</w:t>
      </w:r>
    </w:p>
    <w:p>
      <w:pPr>
        <w:ind w:firstLine="643"/>
        <w:jc w:val="both"/>
        <w:rPr>
          <w:rFonts w:hint="eastAsia" w:ascii="方正楷体_GBK" w:eastAsia="方正楷体_GBK"/>
          <w:b/>
          <w:bCs/>
          <w:sz w:val="32"/>
          <w:szCs w:val="32"/>
          <w:highlight w:val="none"/>
        </w:rPr>
      </w:pPr>
      <w:r>
        <w:rPr>
          <w:rFonts w:hint="eastAsia" w:ascii="方正楷体_GBK" w:eastAsia="方正楷体_GBK"/>
          <w:b/>
          <w:bCs/>
          <w:sz w:val="32"/>
          <w:szCs w:val="32"/>
          <w:highlight w:val="none"/>
        </w:rPr>
        <w:t>（二）</w:t>
      </w:r>
      <w:r>
        <w:rPr>
          <w:rFonts w:hint="eastAsia" w:ascii="方正楷体_GBK" w:eastAsia="方正楷体_GBK"/>
          <w:b/>
          <w:bCs/>
          <w:sz w:val="32"/>
          <w:szCs w:val="32"/>
          <w:highlight w:val="none"/>
          <w:lang w:eastAsia="zh-CN"/>
        </w:rPr>
        <w:t>科学性</w:t>
      </w:r>
      <w:r>
        <w:rPr>
          <w:rFonts w:hint="eastAsia" w:ascii="方正楷体_GBK" w:eastAsia="方正楷体_GBK"/>
          <w:b/>
          <w:bCs/>
          <w:sz w:val="32"/>
          <w:szCs w:val="32"/>
          <w:highlight w:val="none"/>
        </w:rPr>
        <w:t>审查</w:t>
      </w:r>
    </w:p>
    <w:p>
      <w:pPr>
        <w:ind w:firstLine="643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矿区及其影响区域现状、预测地质环境破坏、土地损毁、植被损毁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水土流失等生态问题识别诊断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精准性、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数据来源可靠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性、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调查方法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规范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性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。</w:t>
      </w:r>
    </w:p>
    <w:p>
      <w:pPr>
        <w:ind w:firstLine="643"/>
        <w:jc w:val="both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方案编制范围覆盖采矿权范围及采矿活动影响范围，服务年限符合规范要求，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后期管护目标、措施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管护年限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符合相关标准规定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和实际情况；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采矿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用地（含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临时使用土地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用林用草）复垦</w:t>
      </w:r>
      <w:r>
        <w:rPr>
          <w:rFonts w:hint="eastAsia" w:ascii="方正仿宋_GBK" w:hAnsi="方正仿宋_GBK" w:cs="方正仿宋_GBK"/>
          <w:sz w:val="32"/>
          <w:szCs w:val="32"/>
          <w:highlight w:val="none"/>
          <w:lang w:eastAsia="zh-CN"/>
        </w:rPr>
        <w:t>及绿色矿山建设内容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纳入本方案。</w:t>
      </w:r>
    </w:p>
    <w:p>
      <w:pPr>
        <w:ind w:firstLine="643"/>
        <w:jc w:val="both"/>
        <w:rPr>
          <w:rFonts w:hint="eastAsia" w:ascii="方正仿宋_GBK" w:hAnsi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.生态修复分区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时序安排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、主要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修复措施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及相关工程内容科学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合理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设定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复目标任务可操作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性强，绿色矿山建设内容详实齐全。</w:t>
      </w:r>
    </w:p>
    <w:p>
      <w:pPr>
        <w:pStyle w:val="19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.经费估算依据、取费标准及计算方法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符合相关要求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>
      <w:pPr>
        <w:ind w:firstLine="643"/>
        <w:rPr>
          <w:rFonts w:hint="eastAsia" w:ascii="方正楷体_GBK" w:eastAsia="方正楷体_GBK"/>
          <w:b/>
          <w:bCs/>
          <w:sz w:val="32"/>
          <w:szCs w:val="32"/>
        </w:rPr>
      </w:pPr>
      <w:r>
        <w:rPr>
          <w:rFonts w:hint="eastAsia" w:ascii="方正楷体_GBK" w:eastAsia="方正楷体_GBK"/>
          <w:b/>
          <w:bCs/>
          <w:sz w:val="32"/>
          <w:szCs w:val="32"/>
        </w:rPr>
        <w:t>（</w:t>
      </w:r>
      <w:r>
        <w:rPr>
          <w:rFonts w:hint="eastAsia" w:ascii="方正楷体_GBK" w:eastAsia="方正楷体_GBK"/>
          <w:b/>
          <w:bCs/>
          <w:sz w:val="32"/>
          <w:szCs w:val="32"/>
          <w:lang w:eastAsia="zh-CN"/>
        </w:rPr>
        <w:t>三</w:t>
      </w:r>
      <w:r>
        <w:rPr>
          <w:rFonts w:hint="eastAsia" w:ascii="方正楷体_GBK" w:eastAsia="方正楷体_GBK"/>
          <w:b/>
          <w:bCs/>
          <w:sz w:val="32"/>
          <w:szCs w:val="32"/>
        </w:rPr>
        <w:t>）规范性审查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方案编制符合《矿区生态修复方案编制指南（临时）》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（附件</w:t>
      </w:r>
      <w:r>
        <w:rPr>
          <w:rFonts w:hint="eastAsia" w:ascii="方正仿宋_GBK" w:hAnsi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及相关技术标准要求，编制格式</w:t>
      </w:r>
      <w:r>
        <w:rPr>
          <w:rFonts w:hint="eastAsia" w:ascii="方正仿宋_GBK" w:hAnsi="方正仿宋_GBK" w:cs="方正仿宋_GBK"/>
          <w:sz w:val="32"/>
          <w:szCs w:val="32"/>
          <w:lang w:eastAsia="zh-CN"/>
        </w:rPr>
        <w:t>无误，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内容体系完整。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方案文本表述严谨、准确，无歧义；附图齐全、规范，标注信息清晰准确；附表完整，填写内容规范，数据一致。</w:t>
      </w:r>
    </w:p>
    <w:p>
      <w:pPr>
        <w:ind w:firstLine="640"/>
        <w:rPr>
          <w:rFonts w:hint="eastAsia" w:ascii="方正仿宋_GBK" w:hAnsi="方正仿宋_GBK" w:eastAsia="方正仿宋_GBK" w:cs="方正仿宋_GBK"/>
          <w:strike w:val="0"/>
          <w:sz w:val="32"/>
          <w:szCs w:val="32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cs="方正仿宋_GBK"/>
          <w:strike w:val="0"/>
          <w:dstrike w:val="0"/>
          <w:sz w:val="32"/>
          <w:szCs w:val="32"/>
          <w:highlight w:val="none"/>
          <w:lang w:eastAsia="zh-CN"/>
        </w:rPr>
        <w:t>方案应充分</w:t>
      </w:r>
      <w:r>
        <w:rPr>
          <w:rFonts w:hint="eastAsia" w:ascii="方正仿宋_GBK" w:hAnsi="方正仿宋_GBK" w:eastAsia="方正仿宋_GBK" w:cs="方正仿宋_GBK"/>
          <w:strike w:val="0"/>
          <w:sz w:val="32"/>
          <w:szCs w:val="32"/>
          <w:highlight w:val="none"/>
          <w:lang w:eastAsia="zh-CN"/>
        </w:rPr>
        <w:t>听取矿区涉及的居民委员会、村民委员会、农村集体经济组织和居民代表、村民代表的意见；涉及国家秘密、工作秘密及其他敏感信息的，按规定对公示文本进行处理；公示材料、公众意见收集及处理情况完整留存，相关意见</w:t>
      </w:r>
      <w:r>
        <w:rPr>
          <w:rFonts w:hint="eastAsia" w:ascii="方正仿宋_GBK" w:hAnsi="方正仿宋_GBK" w:cs="方正仿宋_GBK"/>
          <w:strike w:val="0"/>
          <w:sz w:val="32"/>
          <w:szCs w:val="32"/>
          <w:highlight w:val="none"/>
          <w:lang w:eastAsia="zh-CN"/>
        </w:rPr>
        <w:t>充分采纳</w:t>
      </w:r>
      <w:r>
        <w:rPr>
          <w:rFonts w:hint="eastAsia" w:ascii="方正仿宋_GBK" w:hAnsi="方正仿宋_GBK" w:eastAsia="方正仿宋_GBK" w:cs="方正仿宋_GBK"/>
          <w:strike w:val="0"/>
          <w:sz w:val="32"/>
          <w:szCs w:val="32"/>
          <w:highlight w:val="none"/>
          <w:lang w:eastAsia="zh-CN"/>
        </w:rPr>
        <w:t>。</w:t>
      </w:r>
    </w:p>
    <w:p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pStyle w:val="13"/>
        <w:ind w:firstLine="0" w:firstLineChars="0"/>
        <w:rPr>
          <w:rFonts w:hint="default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92" w:gutter="0"/>
          <w:cols w:space="0" w:num="1"/>
          <w:rtlGutter w:val="0"/>
          <w:docGrid w:type="lines" w:linePitch="312" w:charSpace="0"/>
        </w:sectPr>
      </w:pPr>
    </w:p>
    <w:p>
      <w:pPr>
        <w:ind w:left="0" w:leftChars="0" w:firstLine="0" w:firstLineChars="0"/>
        <w:rPr>
          <w:rFonts w:hint="eastAsia" w:ascii="国标黑体" w:hAnsi="国标黑体" w:eastAsia="国标黑体" w:cs="国标黑体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szCs w:val="32"/>
          <w:lang w:val="en-US" w:eastAsia="zh-CN"/>
        </w:rPr>
        <w:t>附件1-1：方案审查意见模板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Lines="50" w:after="157" w:afterLines="50"/>
        <w:ind w:left="0" w:leftChars="0" w:firstLine="0" w:firstLineChars="0"/>
        <w:jc w:val="center"/>
        <w:textAlignment w:val="auto"/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国标黑体" w:hAnsi="国标黑体" w:eastAsia="国标黑体" w:cs="国标黑体"/>
          <w:sz w:val="28"/>
          <w:szCs w:val="28"/>
          <w:lang w:val="en-US" w:eastAsia="zh-CN"/>
        </w:rPr>
        <w:t>xx方案审查意见</w:t>
      </w:r>
    </w:p>
    <w:tbl>
      <w:tblPr>
        <w:tblStyle w:val="22"/>
        <w:tblW w:w="50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2133"/>
        <w:gridCol w:w="1884"/>
        <w:gridCol w:w="2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5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矿山名称</w:t>
            </w:r>
          </w:p>
        </w:tc>
        <w:tc>
          <w:tcPr>
            <w:tcW w:w="1250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采矿权人</w:t>
            </w:r>
          </w:p>
        </w:tc>
        <w:tc>
          <w:tcPr>
            <w:tcW w:w="1510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5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采矿权有效期限</w:t>
            </w:r>
          </w:p>
        </w:tc>
        <w:tc>
          <w:tcPr>
            <w:tcW w:w="1250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03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方案服务年限</w:t>
            </w:r>
          </w:p>
        </w:tc>
        <w:tc>
          <w:tcPr>
            <w:tcW w:w="1510" w:type="pc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5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方案编制单位</w:t>
            </w:r>
          </w:p>
        </w:tc>
        <w:tc>
          <w:tcPr>
            <w:tcW w:w="3864" w:type="pct"/>
            <w:gridSpan w:val="3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135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方案编制情形</w:t>
            </w:r>
          </w:p>
        </w:tc>
        <w:tc>
          <w:tcPr>
            <w:tcW w:w="3864" w:type="pct"/>
            <w:gridSpan w:val="3"/>
            <w:noWrap w:val="0"/>
            <w:vAlign w:val="center"/>
          </w:tcPr>
          <w:p>
            <w:pPr>
              <w:spacing w:before="70" w:after="160" w:line="219" w:lineRule="auto"/>
              <w:ind w:left="412" w:firstLine="0" w:firstLineChars="0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0"/>
                <w:szCs w:val="20"/>
                <w:lang w:eastAsia="zh-CN"/>
              </w:rPr>
              <w:t>□首次申请采矿许可□扩大开采区域□缩小开采区域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sz w:val="20"/>
                <w:szCs w:val="20"/>
                <w:lang w:eastAsia="zh-CN"/>
              </w:rPr>
              <w:t>□变更开采方式□变更开采主矿种□延续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spacing w:val="-1"/>
                <w:kern w:val="0"/>
                <w:position w:val="-1"/>
                <w:sz w:val="20"/>
                <w:szCs w:val="20"/>
                <w:lang w:eastAsia="zh-CN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5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审查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3864" w:type="pct"/>
            <w:gridSpan w:val="3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48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审查专家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5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354" w:type="pct"/>
            <w:gridSpan w:val="2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10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sz w:val="24"/>
                <w:szCs w:val="24"/>
                <w:vertAlign w:val="baseline"/>
                <w:lang w:val="en-US" w:eastAsia="zh-CN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5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54" w:type="pct"/>
            <w:gridSpan w:val="2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pct"/>
            <w:noWrap w:val="0"/>
            <w:vAlign w:val="center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6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line="240" w:lineRule="auto"/>
              <w:ind w:left="0" w:leftChars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  <w:lang w:val="en-US" w:eastAsia="zh-CN"/>
              </w:rPr>
              <w:t>审查意见：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pStyle w:val="13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rPr>
                <w:rFonts w:hint="eastAsia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审查结论：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lang w:val="en-US" w:eastAsia="zh-CN"/>
              </w:rPr>
              <w:t>通过</w:t>
            </w:r>
            <w:r>
              <w:rPr>
                <w:rFonts w:hint="eastAsia" w:ascii="方正仿宋_GBK" w:hAnsi="方正仿宋_GBK" w:cs="方正仿宋_GBK"/>
                <w:sz w:val="36"/>
                <w:szCs w:val="36"/>
                <w:lang w:val="en-US" w:eastAsia="zh-CN"/>
              </w:rPr>
              <w:t>/</w:t>
            </w:r>
            <w:r>
              <w:rPr>
                <w:rFonts w:hint="eastAsia" w:ascii="方正仿宋_GBK" w:hAnsi="方正仿宋_GBK" w:cs="方正仿宋_GBK"/>
                <w:sz w:val="28"/>
                <w:szCs w:val="28"/>
                <w:lang w:val="en-US" w:eastAsia="zh-CN"/>
              </w:rPr>
              <w:t>不通过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cs="方正仿宋_GBK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专家签字：</w:t>
            </w:r>
          </w:p>
        </w:tc>
      </w:tr>
    </w:tbl>
    <w:p>
      <w:pPr>
        <w:pStyle w:val="14"/>
      </w:pPr>
    </w:p>
    <w:sectPr>
      <w:pgSz w:w="11906" w:h="16838"/>
      <w:pgMar w:top="1440" w:right="1803" w:bottom="1440" w:left="1803" w:header="720" w:footer="720" w:gutter="0"/>
      <w:cols w:space="0" w:num="1"/>
      <w:rtlGutter w:val="0"/>
      <w:docGrid w:type="lines" w:linePitch="43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方正楷体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 Light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6"/>
                            <w:ind w:firstLine="56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WAAAAZHJzL1BLAQIU&#10;ABQAAAAIAIdO4kDOqXm5zwAAAAUBAAAPAAAAAAAAAAEAIAAAADgAAABkcnMvZG93bnJldi54bWxQ&#10;SwECFAAUAAAACACHTuJA1k8R87EBAABRAwAADgAAAAAAAAABACAAAAA0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  <w:ind w:firstLine="56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HorizontalSpacing w:val="160"/>
  <w:drawingGridVerticalSpacing w:val="220"/>
  <w:displayHorizontalDrawingGridEvery w:val="1"/>
  <w:displayVerticalDrawingGridEvery w:val="1"/>
  <w:noPunctuationKerning w:val="true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6D1"/>
    <w:rsid w:val="000D563B"/>
    <w:rsid w:val="00100DEF"/>
    <w:rsid w:val="001313E5"/>
    <w:rsid w:val="00145662"/>
    <w:rsid w:val="00151BBE"/>
    <w:rsid w:val="001966C6"/>
    <w:rsid w:val="0025708E"/>
    <w:rsid w:val="002A2EFD"/>
    <w:rsid w:val="002D726D"/>
    <w:rsid w:val="00304622"/>
    <w:rsid w:val="00327FF6"/>
    <w:rsid w:val="00343B58"/>
    <w:rsid w:val="003555FF"/>
    <w:rsid w:val="003C6165"/>
    <w:rsid w:val="004733F3"/>
    <w:rsid w:val="004F5655"/>
    <w:rsid w:val="005337C0"/>
    <w:rsid w:val="00551355"/>
    <w:rsid w:val="00591A87"/>
    <w:rsid w:val="005A1EC2"/>
    <w:rsid w:val="005B2FC1"/>
    <w:rsid w:val="005F46AE"/>
    <w:rsid w:val="0067115A"/>
    <w:rsid w:val="00684F09"/>
    <w:rsid w:val="00721C51"/>
    <w:rsid w:val="007302A7"/>
    <w:rsid w:val="00750189"/>
    <w:rsid w:val="00757086"/>
    <w:rsid w:val="00806722"/>
    <w:rsid w:val="008520D0"/>
    <w:rsid w:val="0087679F"/>
    <w:rsid w:val="008A2F03"/>
    <w:rsid w:val="008F6AAB"/>
    <w:rsid w:val="009049E9"/>
    <w:rsid w:val="00912BBE"/>
    <w:rsid w:val="009956D1"/>
    <w:rsid w:val="009A6CB3"/>
    <w:rsid w:val="00A47F96"/>
    <w:rsid w:val="00A97DBC"/>
    <w:rsid w:val="00AA09FA"/>
    <w:rsid w:val="00AC3408"/>
    <w:rsid w:val="00AE2D0B"/>
    <w:rsid w:val="00B553AB"/>
    <w:rsid w:val="00B84B3F"/>
    <w:rsid w:val="00BA20ED"/>
    <w:rsid w:val="00BE7867"/>
    <w:rsid w:val="00C3439A"/>
    <w:rsid w:val="00C43C25"/>
    <w:rsid w:val="00C87130"/>
    <w:rsid w:val="00D20E06"/>
    <w:rsid w:val="00D42080"/>
    <w:rsid w:val="00D73583"/>
    <w:rsid w:val="00D975F1"/>
    <w:rsid w:val="00DA1254"/>
    <w:rsid w:val="00DA700E"/>
    <w:rsid w:val="00DB28F5"/>
    <w:rsid w:val="00DC52C5"/>
    <w:rsid w:val="00E960D5"/>
    <w:rsid w:val="00F748AE"/>
    <w:rsid w:val="00FE072E"/>
    <w:rsid w:val="07B471FE"/>
    <w:rsid w:val="0C4B11C9"/>
    <w:rsid w:val="141334FE"/>
    <w:rsid w:val="14D71C9F"/>
    <w:rsid w:val="159B19FD"/>
    <w:rsid w:val="160752E5"/>
    <w:rsid w:val="16B34B25"/>
    <w:rsid w:val="171D6B76"/>
    <w:rsid w:val="19747533"/>
    <w:rsid w:val="1AABFA94"/>
    <w:rsid w:val="1BBC447B"/>
    <w:rsid w:val="1DB72ED7"/>
    <w:rsid w:val="1DBF0F96"/>
    <w:rsid w:val="1DDBC4ED"/>
    <w:rsid w:val="1ED7BF13"/>
    <w:rsid w:val="1FB549A0"/>
    <w:rsid w:val="1FFFA17F"/>
    <w:rsid w:val="200A3A07"/>
    <w:rsid w:val="23C87E61"/>
    <w:rsid w:val="2657B7C6"/>
    <w:rsid w:val="27533EE6"/>
    <w:rsid w:val="27E79FF1"/>
    <w:rsid w:val="2CFE4338"/>
    <w:rsid w:val="31B7BF2F"/>
    <w:rsid w:val="333F139E"/>
    <w:rsid w:val="347C9FB8"/>
    <w:rsid w:val="37760AF8"/>
    <w:rsid w:val="37FD0228"/>
    <w:rsid w:val="39AE9DAE"/>
    <w:rsid w:val="3ABDA286"/>
    <w:rsid w:val="3CFEBCF6"/>
    <w:rsid w:val="3D99A9B4"/>
    <w:rsid w:val="3D9BCC6F"/>
    <w:rsid w:val="3DF7D1BA"/>
    <w:rsid w:val="3E1F3D70"/>
    <w:rsid w:val="3E5F3663"/>
    <w:rsid w:val="3F6DA764"/>
    <w:rsid w:val="3F7DB85B"/>
    <w:rsid w:val="3F7E9152"/>
    <w:rsid w:val="3FDEB623"/>
    <w:rsid w:val="3FE2E2D6"/>
    <w:rsid w:val="3FEFABD1"/>
    <w:rsid w:val="3FFF5B17"/>
    <w:rsid w:val="41F83BB0"/>
    <w:rsid w:val="42B23D5F"/>
    <w:rsid w:val="45F76A2F"/>
    <w:rsid w:val="49F27137"/>
    <w:rsid w:val="4ED854FC"/>
    <w:rsid w:val="4FE94BE9"/>
    <w:rsid w:val="559F26F4"/>
    <w:rsid w:val="565D9CC3"/>
    <w:rsid w:val="57FE1A37"/>
    <w:rsid w:val="59DE09E4"/>
    <w:rsid w:val="5AF7CF86"/>
    <w:rsid w:val="5B5B7D99"/>
    <w:rsid w:val="5B9E2C7A"/>
    <w:rsid w:val="5BD7601D"/>
    <w:rsid w:val="5BF74C89"/>
    <w:rsid w:val="5BFF97D5"/>
    <w:rsid w:val="5C9F5F27"/>
    <w:rsid w:val="5D57D845"/>
    <w:rsid w:val="5DBD4A08"/>
    <w:rsid w:val="5DDBAF49"/>
    <w:rsid w:val="5E6F4599"/>
    <w:rsid w:val="5E9E5967"/>
    <w:rsid w:val="5EFB5C62"/>
    <w:rsid w:val="5EFFFBA9"/>
    <w:rsid w:val="5FCE2A5D"/>
    <w:rsid w:val="5FF331D1"/>
    <w:rsid w:val="5FF7A16F"/>
    <w:rsid w:val="5FFAEB50"/>
    <w:rsid w:val="617F1EDB"/>
    <w:rsid w:val="63DD986F"/>
    <w:rsid w:val="659BC0B3"/>
    <w:rsid w:val="66BDFF44"/>
    <w:rsid w:val="66CECF67"/>
    <w:rsid w:val="67B53320"/>
    <w:rsid w:val="67F78CA9"/>
    <w:rsid w:val="67FB726B"/>
    <w:rsid w:val="67FF5C6D"/>
    <w:rsid w:val="6BADEA44"/>
    <w:rsid w:val="6DBF7588"/>
    <w:rsid w:val="6DFFC1FD"/>
    <w:rsid w:val="6EAB623B"/>
    <w:rsid w:val="6F9FF704"/>
    <w:rsid w:val="6FF7F896"/>
    <w:rsid w:val="6FFD7A05"/>
    <w:rsid w:val="6FFF4D3E"/>
    <w:rsid w:val="6FFFF474"/>
    <w:rsid w:val="71FD1A7D"/>
    <w:rsid w:val="73BEB446"/>
    <w:rsid w:val="73DF052B"/>
    <w:rsid w:val="74794C7C"/>
    <w:rsid w:val="7535B604"/>
    <w:rsid w:val="755521A4"/>
    <w:rsid w:val="759A206D"/>
    <w:rsid w:val="75F7684B"/>
    <w:rsid w:val="75FF112F"/>
    <w:rsid w:val="76FF4CB9"/>
    <w:rsid w:val="77CF61AB"/>
    <w:rsid w:val="77DFA41A"/>
    <w:rsid w:val="77EE158F"/>
    <w:rsid w:val="77F56774"/>
    <w:rsid w:val="793A1DDD"/>
    <w:rsid w:val="795B604D"/>
    <w:rsid w:val="799F41B2"/>
    <w:rsid w:val="79F4713D"/>
    <w:rsid w:val="79FD04E9"/>
    <w:rsid w:val="7A77B977"/>
    <w:rsid w:val="7A798594"/>
    <w:rsid w:val="7ABB1324"/>
    <w:rsid w:val="7B7F9899"/>
    <w:rsid w:val="7BA74A48"/>
    <w:rsid w:val="7BB73D07"/>
    <w:rsid w:val="7BEB6843"/>
    <w:rsid w:val="7BF35EAE"/>
    <w:rsid w:val="7BF6061E"/>
    <w:rsid w:val="7BF78A74"/>
    <w:rsid w:val="7CED29CB"/>
    <w:rsid w:val="7CEF134B"/>
    <w:rsid w:val="7CF70242"/>
    <w:rsid w:val="7D9D5109"/>
    <w:rsid w:val="7DBC9349"/>
    <w:rsid w:val="7DD9D1DC"/>
    <w:rsid w:val="7DDCD522"/>
    <w:rsid w:val="7DDF742E"/>
    <w:rsid w:val="7DE9CA1F"/>
    <w:rsid w:val="7DE9CA65"/>
    <w:rsid w:val="7DFEA66A"/>
    <w:rsid w:val="7E3C06A0"/>
    <w:rsid w:val="7E5B4BFA"/>
    <w:rsid w:val="7EAB4E72"/>
    <w:rsid w:val="7EAF51D3"/>
    <w:rsid w:val="7EBAD03E"/>
    <w:rsid w:val="7F293098"/>
    <w:rsid w:val="7F56816E"/>
    <w:rsid w:val="7F7EDB45"/>
    <w:rsid w:val="7F7F8A8D"/>
    <w:rsid w:val="7FADCB2F"/>
    <w:rsid w:val="7FBF890B"/>
    <w:rsid w:val="7FEF6F57"/>
    <w:rsid w:val="7FEF8960"/>
    <w:rsid w:val="7FF320FD"/>
    <w:rsid w:val="7FFB51A4"/>
    <w:rsid w:val="7FFE51D5"/>
    <w:rsid w:val="7FFF2273"/>
    <w:rsid w:val="7FFF2B07"/>
    <w:rsid w:val="7FFFBF11"/>
    <w:rsid w:val="7FFFC1C6"/>
    <w:rsid w:val="8F9D6020"/>
    <w:rsid w:val="96DFE24D"/>
    <w:rsid w:val="97FA843C"/>
    <w:rsid w:val="9BEF9390"/>
    <w:rsid w:val="9C9B80F8"/>
    <w:rsid w:val="9D9F6C43"/>
    <w:rsid w:val="9DBE2FBE"/>
    <w:rsid w:val="9ED7ADA9"/>
    <w:rsid w:val="9FB7EA0D"/>
    <w:rsid w:val="9FFB7DAD"/>
    <w:rsid w:val="A7FBFE0B"/>
    <w:rsid w:val="AB7F18D1"/>
    <w:rsid w:val="AED933AB"/>
    <w:rsid w:val="AF3F88F2"/>
    <w:rsid w:val="AFDD0C25"/>
    <w:rsid w:val="AFFFB392"/>
    <w:rsid w:val="B6B6267E"/>
    <w:rsid w:val="B6DBAC06"/>
    <w:rsid w:val="B75B9748"/>
    <w:rsid w:val="B75F713C"/>
    <w:rsid w:val="B8EF4FC6"/>
    <w:rsid w:val="BBB5935B"/>
    <w:rsid w:val="BBD6B587"/>
    <w:rsid w:val="BBED5B85"/>
    <w:rsid w:val="BD2D671C"/>
    <w:rsid w:val="BDF90BFF"/>
    <w:rsid w:val="BDFB8109"/>
    <w:rsid w:val="BDFBD19B"/>
    <w:rsid w:val="BE9424D4"/>
    <w:rsid w:val="BEFFB5BE"/>
    <w:rsid w:val="BF5E1D18"/>
    <w:rsid w:val="BFF7A094"/>
    <w:rsid w:val="C6CFD7BF"/>
    <w:rsid w:val="C9ACF726"/>
    <w:rsid w:val="CBFDF4D4"/>
    <w:rsid w:val="CECAE569"/>
    <w:rsid w:val="D2BF8252"/>
    <w:rsid w:val="D5FFE471"/>
    <w:rsid w:val="D7EE5C79"/>
    <w:rsid w:val="DBBF68DB"/>
    <w:rsid w:val="DD87D34E"/>
    <w:rsid w:val="DDA53FED"/>
    <w:rsid w:val="DDDB3BCA"/>
    <w:rsid w:val="DDF7FD5F"/>
    <w:rsid w:val="DE6AC685"/>
    <w:rsid w:val="DEDCE36E"/>
    <w:rsid w:val="DEFDCFC8"/>
    <w:rsid w:val="DEFFCCD4"/>
    <w:rsid w:val="DF7B2505"/>
    <w:rsid w:val="DFDEEAC4"/>
    <w:rsid w:val="DFEFDB8B"/>
    <w:rsid w:val="DFFE60AD"/>
    <w:rsid w:val="E25B1600"/>
    <w:rsid w:val="E28DE79B"/>
    <w:rsid w:val="E3FEFE59"/>
    <w:rsid w:val="E53E4475"/>
    <w:rsid w:val="E7BB1DC8"/>
    <w:rsid w:val="E7EBC45E"/>
    <w:rsid w:val="EAF4CBE9"/>
    <w:rsid w:val="EAFEC843"/>
    <w:rsid w:val="ECFBEFB9"/>
    <w:rsid w:val="ED7F1947"/>
    <w:rsid w:val="EDDD2738"/>
    <w:rsid w:val="EEB7C0B4"/>
    <w:rsid w:val="EF3F7900"/>
    <w:rsid w:val="EF6FCCB0"/>
    <w:rsid w:val="EFBDCF89"/>
    <w:rsid w:val="EFEDD2AD"/>
    <w:rsid w:val="EFEE5D72"/>
    <w:rsid w:val="F2774317"/>
    <w:rsid w:val="F5EF9BD9"/>
    <w:rsid w:val="F64B09A0"/>
    <w:rsid w:val="F6EFF75B"/>
    <w:rsid w:val="F6FF11B5"/>
    <w:rsid w:val="F77F6D67"/>
    <w:rsid w:val="F7B95911"/>
    <w:rsid w:val="F7BF2725"/>
    <w:rsid w:val="F7EF088D"/>
    <w:rsid w:val="F7FF75AA"/>
    <w:rsid w:val="F87FBBAC"/>
    <w:rsid w:val="FA3E2E30"/>
    <w:rsid w:val="FADBF352"/>
    <w:rsid w:val="FADF5AF2"/>
    <w:rsid w:val="FAFF0B3A"/>
    <w:rsid w:val="FBBFC041"/>
    <w:rsid w:val="FBEA651D"/>
    <w:rsid w:val="FBF5C6F7"/>
    <w:rsid w:val="FBFE6F63"/>
    <w:rsid w:val="FC7B0099"/>
    <w:rsid w:val="FCB746BD"/>
    <w:rsid w:val="FCE656E6"/>
    <w:rsid w:val="FCFF6A4C"/>
    <w:rsid w:val="FD7E9264"/>
    <w:rsid w:val="FDB7E35E"/>
    <w:rsid w:val="FDCF7265"/>
    <w:rsid w:val="FDF25B73"/>
    <w:rsid w:val="FDF98B17"/>
    <w:rsid w:val="FE64D34D"/>
    <w:rsid w:val="FE9F5C0D"/>
    <w:rsid w:val="FED9DDCF"/>
    <w:rsid w:val="FEE7A756"/>
    <w:rsid w:val="FEEA6BB8"/>
    <w:rsid w:val="FEF195CF"/>
    <w:rsid w:val="FEFF1499"/>
    <w:rsid w:val="FF4B9ADE"/>
    <w:rsid w:val="FF7ED926"/>
    <w:rsid w:val="FF8C2028"/>
    <w:rsid w:val="FFB20904"/>
    <w:rsid w:val="FFBF7541"/>
    <w:rsid w:val="FFBF9F40"/>
    <w:rsid w:val="FFD7C725"/>
    <w:rsid w:val="FFDFE669"/>
    <w:rsid w:val="FFE75252"/>
    <w:rsid w:val="FFF5F815"/>
    <w:rsid w:val="FFF6A55F"/>
    <w:rsid w:val="FFF6F59A"/>
    <w:rsid w:val="FFF738A5"/>
    <w:rsid w:val="FFF9273C"/>
    <w:rsid w:val="FFF987E1"/>
    <w:rsid w:val="FFF9D1E9"/>
    <w:rsid w:val="FFFE5C6B"/>
    <w:rsid w:val="FFFE7147"/>
    <w:rsid w:val="FFFF43A8"/>
    <w:rsid w:val="FFFFC252"/>
    <w:rsid w:val="FFFFD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  <w14:ligatures w14:val="standardContextual"/>
    </w:rPr>
  </w:style>
  <w:style w:type="paragraph" w:styleId="2">
    <w:name w:val="heading 1"/>
    <w:basedOn w:val="3"/>
    <w:next w:val="1"/>
    <w:link w:val="25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_GBK" w:cstheme="majorBidi"/>
      <w:sz w:val="36"/>
      <w:szCs w:val="48"/>
    </w:rPr>
  </w:style>
  <w:style w:type="paragraph" w:styleId="4">
    <w:name w:val="heading 2"/>
    <w:basedOn w:val="1"/>
    <w:next w:val="1"/>
    <w:link w:val="26"/>
    <w:unhideWhenUsed/>
    <w:qFormat/>
    <w:uiPriority w:val="9"/>
    <w:pPr>
      <w:keepNext/>
      <w:keepLines/>
      <w:jc w:val="center"/>
      <w:outlineLvl w:val="1"/>
    </w:pPr>
    <w:rPr>
      <w:rFonts w:eastAsia="方正小标宋_GBK" w:cstheme="majorBidi"/>
      <w:sz w:val="36"/>
      <w:szCs w:val="40"/>
    </w:rPr>
  </w:style>
  <w:style w:type="paragraph" w:styleId="5">
    <w:name w:val="heading 3"/>
    <w:basedOn w:val="1"/>
    <w:next w:val="1"/>
    <w:link w:val="27"/>
    <w:unhideWhenUsed/>
    <w:qFormat/>
    <w:uiPriority w:val="9"/>
    <w:pPr>
      <w:keepNext/>
      <w:keepLines/>
      <w:outlineLvl w:val="2"/>
    </w:pPr>
    <w:rPr>
      <w:rFonts w:ascii="方正黑体_GBK" w:hAnsi="方正黑体_GBK" w:eastAsia="方正黑体_GBK" w:cstheme="majorBidi"/>
      <w:szCs w:val="32"/>
    </w:rPr>
  </w:style>
  <w:style w:type="paragraph" w:styleId="6">
    <w:name w:val="heading 4"/>
    <w:basedOn w:val="1"/>
    <w:next w:val="1"/>
    <w:link w:val="28"/>
    <w:unhideWhenUsed/>
    <w:qFormat/>
    <w:uiPriority w:val="9"/>
    <w:pPr>
      <w:keepNext/>
      <w:keepLines/>
      <w:outlineLvl w:val="3"/>
    </w:pPr>
    <w:rPr>
      <w:rFonts w:eastAsia="方正楷体_GBK" w:cstheme="majorBidi"/>
      <w:szCs w:val="28"/>
    </w:rPr>
  </w:style>
  <w:style w:type="paragraph" w:styleId="7">
    <w:name w:val="heading 5"/>
    <w:basedOn w:val="1"/>
    <w:next w:val="1"/>
    <w:link w:val="2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2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left="720"/>
      <w:contextualSpacing/>
    </w:pPr>
  </w:style>
  <w:style w:type="paragraph" w:styleId="12">
    <w:name w:val="Body Text"/>
    <w:basedOn w:val="1"/>
    <w:next w:val="13"/>
    <w:qFormat/>
    <w:uiPriority w:val="0"/>
    <w:pPr>
      <w:spacing w:after="120"/>
    </w:pPr>
  </w:style>
  <w:style w:type="paragraph" w:styleId="13">
    <w:name w:val="Body Text First Indent"/>
    <w:basedOn w:val="12"/>
    <w:next w:val="14"/>
    <w:qFormat/>
    <w:uiPriority w:val="0"/>
    <w:pPr>
      <w:ind w:firstLine="420" w:firstLineChars="100"/>
    </w:pPr>
  </w:style>
  <w:style w:type="paragraph" w:styleId="14">
    <w:name w:val="Body Text First Indent 2"/>
    <w:basedOn w:val="15"/>
    <w:next w:val="13"/>
    <w:qFormat/>
    <w:uiPriority w:val="0"/>
    <w:pPr>
      <w:ind w:firstLine="420"/>
    </w:pPr>
  </w:style>
  <w:style w:type="paragraph" w:styleId="15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16">
    <w:name w:val="footer"/>
    <w:basedOn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0">
    <w:name w:val="Title"/>
    <w:basedOn w:val="1"/>
    <w:link w:val="3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22"/>
    <w:rPr>
      <w:b/>
    </w:rPr>
  </w:style>
  <w:style w:type="character" w:customStyle="1" w:styleId="25">
    <w:name w:val="标题 1 字符"/>
    <w:basedOn w:val="23"/>
    <w:link w:val="2"/>
    <w:qFormat/>
    <w:uiPriority w:val="9"/>
    <w:rPr>
      <w:rFonts w:ascii="Times New Roman" w:hAnsi="Times New Roman" w:eastAsia="方正小标宋_GBK" w:cstheme="majorBidi"/>
      <w:sz w:val="36"/>
      <w:szCs w:val="48"/>
    </w:rPr>
  </w:style>
  <w:style w:type="character" w:customStyle="1" w:styleId="26">
    <w:name w:val="标题 2 字符"/>
    <w:basedOn w:val="23"/>
    <w:link w:val="4"/>
    <w:qFormat/>
    <w:uiPriority w:val="9"/>
    <w:rPr>
      <w:rFonts w:ascii="Times New Roman" w:hAnsi="Times New Roman" w:eastAsia="方正小标宋_GBK" w:cstheme="majorBidi"/>
      <w:sz w:val="36"/>
      <w:szCs w:val="40"/>
    </w:rPr>
  </w:style>
  <w:style w:type="character" w:customStyle="1" w:styleId="27">
    <w:name w:val="标题 3 字符"/>
    <w:basedOn w:val="23"/>
    <w:link w:val="5"/>
    <w:qFormat/>
    <w:uiPriority w:val="9"/>
    <w:rPr>
      <w:rFonts w:ascii="方正黑体_GBK" w:hAnsi="方正黑体_GBK" w:eastAsia="方正黑体_GBK" w:cstheme="majorBidi"/>
      <w:sz w:val="32"/>
      <w:szCs w:val="32"/>
    </w:rPr>
  </w:style>
  <w:style w:type="character" w:customStyle="1" w:styleId="28">
    <w:name w:val="标题 4 字符"/>
    <w:basedOn w:val="23"/>
    <w:link w:val="6"/>
    <w:qFormat/>
    <w:uiPriority w:val="9"/>
    <w:rPr>
      <w:rFonts w:ascii="Times New Roman" w:hAnsi="Times New Roman" w:eastAsia="方正楷体_GBK" w:cstheme="majorBidi"/>
      <w:sz w:val="32"/>
      <w:szCs w:val="28"/>
    </w:rPr>
  </w:style>
  <w:style w:type="character" w:customStyle="1" w:styleId="29">
    <w:name w:val="标题 5 字符"/>
    <w:basedOn w:val="23"/>
    <w:link w:val="7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30">
    <w:name w:val="标题 6 字符"/>
    <w:basedOn w:val="23"/>
    <w:link w:val="8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1">
    <w:name w:val="标题 7 字符"/>
    <w:basedOn w:val="23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8 字符"/>
    <w:basedOn w:val="23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9 字符"/>
    <w:basedOn w:val="23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字符"/>
    <w:basedOn w:val="23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5">
    <w:name w:val="副标题 字符"/>
    <w:basedOn w:val="23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6">
    <w:name w:val="Quote"/>
    <w:basedOn w:val="1"/>
    <w:next w:val="1"/>
    <w:link w:val="3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7">
    <w:name w:val="引用 字符"/>
    <w:basedOn w:val="23"/>
    <w:link w:val="3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明显强调1"/>
    <w:basedOn w:val="23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3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明显参考1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23"/>
    <w:link w:val="17"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43">
    <w:name w:val="页脚 字符"/>
    <w:basedOn w:val="23"/>
    <w:link w:val="16"/>
    <w:qFormat/>
    <w:uiPriority w:val="99"/>
    <w:rPr>
      <w:rFonts w:ascii="Times New Roman" w:hAnsi="Times New Roman" w:eastAsia="方正仿宋_GBK"/>
      <w:sz w:val="18"/>
      <w:szCs w:val="18"/>
    </w:rPr>
  </w:style>
  <w:style w:type="table" w:customStyle="1" w:styleId="44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5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 w:line="240" w:lineRule="auto"/>
      <w:ind w:firstLine="0" w:firstLineChars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eastAsia="en-US"/>
    </w:rPr>
  </w:style>
  <w:style w:type="table" w:customStyle="1" w:styleId="46">
    <w:name w:val="Table Normal1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Table Normal2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8">
    <w:name w:val="Table Normal3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9">
    <w:name w:val="Table Normal4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0">
    <w:name w:val="Table Normal5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Table Normal6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">
    <w:name w:val="Table Normal7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">
    <w:name w:val="Table Normal8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">
    <w:name w:val="Table Normal9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">
    <w:name w:val="Table Normal10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6">
    <w:name w:val="Table Normal11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7">
    <w:name w:val="Table Normal12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8">
    <w:name w:val="Table Normal13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9">
    <w:name w:val="Table Normal14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">
    <w:name w:val="Table Normal15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1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character" w:customStyle="1" w:styleId="62">
    <w:name w:val="font2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3">
    <w:name w:val="font01"/>
    <w:basedOn w:val="23"/>
    <w:qFormat/>
    <w:uiPriority w:val="0"/>
    <w:rPr>
      <w:rFonts w:ascii="Wingdings 2" w:hAnsi="Wingdings 2" w:eastAsia="Wingdings 2" w:cs="Wingdings 2"/>
      <w:color w:val="000000"/>
      <w:sz w:val="20"/>
      <w:szCs w:val="20"/>
      <w:u w:val="none"/>
    </w:rPr>
  </w:style>
  <w:style w:type="paragraph" w:customStyle="1" w:styleId="6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12297</Words>
  <Characters>13180</Characters>
  <Lines>143</Lines>
  <Paragraphs>40</Paragraphs>
  <TotalTime>34</TotalTime>
  <ScaleCrop>false</ScaleCrop>
  <LinksUpToDate>false</LinksUpToDate>
  <CharactersWithSpaces>13462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2025-12-18T17:18:00Z</dcterms:created>
  <dc:creator>磊 房</dc:creator>
  <cp:lastModifiedBy>ht706</cp:lastModifiedBy>
  <cp:lastPrinted>2026-04-08T18:32:00Z</cp:lastPrinted>
  <dcterms:modified xsi:type="dcterms:W3CDTF">2026-04-29T11:44:37Z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8D1E2821B801861B3EC2EE69557F5CF0</vt:lpwstr>
  </property>
  <property fmtid="{D5CDD505-2E9C-101B-9397-08002B2CF9AE}" pid="4" name="KSOTemplateDocerSaveRecord">
    <vt:lpwstr>eyJoZGlkIjoiMjY4NDcxNGY2ODkwYjQ5OTg1YWI5ZThhMzdkZmM3OWQiLCJ1c2VySWQiOiI0MTU3MDQwNDQifQ==</vt:lpwstr>
  </property>
</Properties>
</file>